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r w:rsidRPr="003C35B5">
        <w:rPr>
          <w:b/>
        </w:rPr>
        <w:t xml:space="preserve">SOAH DOCKET NO. </w:t>
      </w:r>
      <w:r w:rsidR="00EB1BBA">
        <w:rPr>
          <w:b/>
        </w:rPr>
        <w:t>473</w:t>
      </w:r>
      <w:r w:rsidR="00EB1BBA" w:rsidRPr="004016F3">
        <w:rPr>
          <w:b/>
        </w:rPr>
        <w:t>-</w:t>
      </w:r>
      <w:r w:rsidR="008D252C">
        <w:rPr>
          <w:b/>
        </w:rPr>
        <w:t>17-0119</w:t>
      </w:r>
      <w:r w:rsidR="004016F3" w:rsidRPr="004016F3">
        <w:rPr>
          <w:b/>
        </w:rPr>
        <w:t>.WS</w:t>
      </w:r>
    </w:p>
    <w:p w:rsidR="00275B22" w:rsidRPr="003C35B5" w:rsidRDefault="00275B22">
      <w:pPr>
        <w:spacing w:before="0" w:line="240" w:lineRule="auto"/>
        <w:jc w:val="center"/>
        <w:rPr>
          <w:b/>
        </w:rPr>
      </w:pPr>
      <w:r w:rsidRPr="003C35B5">
        <w:rPr>
          <w:b/>
        </w:rPr>
        <w:t xml:space="preserve">PUC DOCKET NO. </w:t>
      </w:r>
      <w:r w:rsidR="008D252C">
        <w:rPr>
          <w:b/>
        </w:rPr>
        <w:t>46245</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EB1BBA" w:rsidRPr="004016F3" w:rsidRDefault="004016F3" w:rsidP="0054036E">
            <w:pPr>
              <w:spacing w:before="0" w:line="240" w:lineRule="auto"/>
              <w:jc w:val="left"/>
              <w:rPr>
                <w:b/>
                <w:caps/>
              </w:rPr>
            </w:pPr>
            <w:r w:rsidRPr="004016F3">
              <w:rPr>
                <w:b/>
                <w:caps/>
              </w:rPr>
              <w:t xml:space="preserve">Application of Double Diamond </w:t>
            </w:r>
            <w:r w:rsidR="0039378D">
              <w:rPr>
                <w:b/>
                <w:caps/>
              </w:rPr>
              <w:t>UTILITY COMPANY, INC.</w:t>
            </w:r>
            <w:r w:rsidRPr="004016F3">
              <w:rPr>
                <w:b/>
                <w:caps/>
              </w:rPr>
              <w:t xml:space="preserve"> for </w:t>
            </w:r>
            <w:r w:rsidR="0054036E">
              <w:rPr>
                <w:b/>
                <w:caps/>
              </w:rPr>
              <w:t xml:space="preserve">WATER AND SEWER </w:t>
            </w:r>
            <w:bookmarkStart w:id="0" w:name="_GoBack"/>
            <w:bookmarkEnd w:id="0"/>
            <w:r w:rsidRPr="004016F3">
              <w:rPr>
                <w:b/>
                <w:caps/>
              </w:rPr>
              <w:t>Rate/Tariff Change</w:t>
            </w:r>
          </w:p>
        </w:tc>
        <w:tc>
          <w:tcPr>
            <w:tcW w:w="360" w:type="dxa"/>
          </w:tcPr>
          <w:p w:rsidR="004016F3" w:rsidRPr="003C35B5" w:rsidRDefault="00275B22">
            <w:pPr>
              <w:spacing w:before="0" w:line="240" w:lineRule="auto"/>
              <w:ind w:right="576"/>
              <w:rPr>
                <w:b/>
              </w:rPr>
            </w:pPr>
            <w:r w:rsidRPr="003C35B5">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521F8F">
      <w:pPr>
        <w:spacing w:before="0"/>
        <w:jc w:val="center"/>
      </w:pPr>
      <w:r>
        <w:rPr>
          <w:b/>
        </w:rPr>
        <w:t xml:space="preserve">DRAFT </w:t>
      </w:r>
      <w:r w:rsidR="00275B22" w:rsidRPr="003C35B5">
        <w:rPr>
          <w:b/>
        </w:rPr>
        <w:t>PRELIMINARY ORDER</w:t>
      </w:r>
    </w:p>
    <w:p w:rsidR="00275B22" w:rsidRPr="003C35B5" w:rsidRDefault="00275B22">
      <w:pPr>
        <w:spacing w:before="0"/>
        <w:jc w:val="center"/>
        <w:rPr>
          <w:b/>
        </w:rPr>
      </w:pPr>
    </w:p>
    <w:p w:rsidR="00E57C4D" w:rsidRPr="00091D58" w:rsidRDefault="00275B22" w:rsidP="003250B0">
      <w:pPr>
        <w:spacing w:before="0"/>
        <w:contextualSpacing/>
        <w:rPr>
          <w:szCs w:val="24"/>
        </w:rPr>
      </w:pPr>
      <w:r w:rsidRPr="00091D58">
        <w:rPr>
          <w:b/>
          <w:szCs w:val="24"/>
        </w:rPr>
        <w:tab/>
      </w:r>
      <w:r w:rsidR="002A12E2" w:rsidRPr="00091D58">
        <w:rPr>
          <w:szCs w:val="24"/>
        </w:rPr>
        <w:t>On August 1,</w:t>
      </w:r>
      <w:r w:rsidR="007C4C98" w:rsidRPr="00091D58">
        <w:rPr>
          <w:szCs w:val="24"/>
        </w:rPr>
        <w:t xml:space="preserve"> 2016</w:t>
      </w:r>
      <w:r w:rsidR="00C4337C" w:rsidRPr="00091D58">
        <w:rPr>
          <w:szCs w:val="24"/>
        </w:rPr>
        <w:t>,</w:t>
      </w:r>
      <w:r w:rsidR="007C4C98" w:rsidRPr="00091D58">
        <w:rPr>
          <w:szCs w:val="24"/>
        </w:rPr>
        <w:t xml:space="preserve"> </w:t>
      </w:r>
      <w:r w:rsidR="002A12E2" w:rsidRPr="00091D58">
        <w:rPr>
          <w:szCs w:val="24"/>
        </w:rPr>
        <w:t xml:space="preserve">Double Diamond </w:t>
      </w:r>
      <w:r w:rsidR="003250B0">
        <w:rPr>
          <w:szCs w:val="24"/>
        </w:rPr>
        <w:t xml:space="preserve">Utility Company </w:t>
      </w:r>
      <w:r w:rsidR="00563F76" w:rsidRPr="00091D58">
        <w:rPr>
          <w:szCs w:val="24"/>
        </w:rPr>
        <w:t>filed an application for</w:t>
      </w:r>
      <w:r w:rsidR="00E24DB5">
        <w:rPr>
          <w:szCs w:val="24"/>
        </w:rPr>
        <w:t xml:space="preserve"> </w:t>
      </w:r>
      <w:r w:rsidR="003250B0">
        <w:rPr>
          <w:szCs w:val="24"/>
        </w:rPr>
        <w:t>Class B</w:t>
      </w:r>
      <w:r w:rsidR="00E24DB5">
        <w:rPr>
          <w:szCs w:val="24"/>
        </w:rPr>
        <w:t xml:space="preserve"> rate and </w:t>
      </w:r>
      <w:r w:rsidR="00237664" w:rsidRPr="00091D58">
        <w:rPr>
          <w:szCs w:val="24"/>
        </w:rPr>
        <w:t>tariff change</w:t>
      </w:r>
      <w:r w:rsidR="00E24DB5">
        <w:rPr>
          <w:szCs w:val="24"/>
        </w:rPr>
        <w:t>s</w:t>
      </w:r>
      <w:r w:rsidR="00062C7D" w:rsidRPr="00091D58">
        <w:rPr>
          <w:szCs w:val="24"/>
        </w:rPr>
        <w:t xml:space="preserve"> </w:t>
      </w:r>
      <w:r w:rsidR="005F07DC" w:rsidRPr="00091D58">
        <w:rPr>
          <w:szCs w:val="24"/>
        </w:rPr>
        <w:t>under</w:t>
      </w:r>
      <w:r w:rsidR="00062C7D" w:rsidRPr="00091D58">
        <w:rPr>
          <w:szCs w:val="24"/>
        </w:rPr>
        <w:t xml:space="preserve"> Te</w:t>
      </w:r>
      <w:r w:rsidR="002A12E2" w:rsidRPr="00091D58">
        <w:rPr>
          <w:szCs w:val="24"/>
        </w:rPr>
        <w:t>xas Water Code (TWC) §</w:t>
      </w:r>
      <w:r w:rsidR="00362519">
        <w:rPr>
          <w:szCs w:val="24"/>
        </w:rPr>
        <w:t xml:space="preserve"> </w:t>
      </w:r>
      <w:r w:rsidR="002A12E2" w:rsidRPr="00091D58">
        <w:rPr>
          <w:szCs w:val="24"/>
        </w:rPr>
        <w:t>13.1871</w:t>
      </w:r>
      <w:r w:rsidR="00E24DB5">
        <w:rPr>
          <w:szCs w:val="24"/>
        </w:rPr>
        <w:t xml:space="preserve"> and 16 Texas Administrative Code (TAC) §§ 24.21-26</w:t>
      </w:r>
      <w:r w:rsidR="00237664" w:rsidRPr="00091D58">
        <w:rPr>
          <w:szCs w:val="24"/>
        </w:rPr>
        <w:t>.</w:t>
      </w:r>
      <w:r w:rsidR="00DD612A" w:rsidRPr="00091D58">
        <w:rPr>
          <w:szCs w:val="24"/>
        </w:rPr>
        <w:t xml:space="preserve">  </w:t>
      </w:r>
      <w:r w:rsidR="003250B0">
        <w:rPr>
          <w:szCs w:val="24"/>
        </w:rPr>
        <w:t>Speci</w:t>
      </w:r>
      <w:r w:rsidR="00E24DB5">
        <w:rPr>
          <w:szCs w:val="24"/>
        </w:rPr>
        <w:t>fic</w:t>
      </w:r>
      <w:r w:rsidR="003250B0">
        <w:rPr>
          <w:szCs w:val="24"/>
        </w:rPr>
        <w:t xml:space="preserve">ally, Double Diamond requests </w:t>
      </w:r>
      <w:r w:rsidR="00E24DB5">
        <w:rPr>
          <w:szCs w:val="24"/>
        </w:rPr>
        <w:t xml:space="preserve">changes to its rates and tariffs </w:t>
      </w:r>
      <w:r w:rsidR="003250B0">
        <w:rPr>
          <w:szCs w:val="24"/>
        </w:rPr>
        <w:t>for sewer certificate of c</w:t>
      </w:r>
      <w:r w:rsidR="003250B0" w:rsidRPr="003250B0">
        <w:rPr>
          <w:szCs w:val="24"/>
        </w:rPr>
        <w:t>onvenience</w:t>
      </w:r>
      <w:r w:rsidR="003250B0">
        <w:rPr>
          <w:szCs w:val="24"/>
        </w:rPr>
        <w:t xml:space="preserve"> and necessity (CCN) number 20705 and water CCN number</w:t>
      </w:r>
      <w:r w:rsidR="003250B0" w:rsidRPr="003250B0">
        <w:rPr>
          <w:szCs w:val="24"/>
        </w:rPr>
        <w:t xml:space="preserve"> 12087</w:t>
      </w:r>
      <w:r w:rsidR="003250B0">
        <w:rPr>
          <w:szCs w:val="24"/>
        </w:rPr>
        <w:t xml:space="preserve">.  </w:t>
      </w:r>
      <w:r w:rsidR="002A12E2" w:rsidRPr="00091D58">
        <w:rPr>
          <w:szCs w:val="24"/>
        </w:rPr>
        <w:t xml:space="preserve">On September 1, 2016, </w:t>
      </w:r>
      <w:r w:rsidR="00563F76" w:rsidRPr="00091D58">
        <w:rPr>
          <w:szCs w:val="24"/>
        </w:rPr>
        <w:t xml:space="preserve">Commission Staff </w:t>
      </w:r>
      <w:r w:rsidR="00E24DB5">
        <w:rPr>
          <w:szCs w:val="24"/>
        </w:rPr>
        <w:t xml:space="preserve">recommended that </w:t>
      </w:r>
      <w:r w:rsidR="00563F76" w:rsidRPr="00091D58">
        <w:rPr>
          <w:szCs w:val="24"/>
        </w:rPr>
        <w:t xml:space="preserve">the application administratively </w:t>
      </w:r>
      <w:r w:rsidR="00E24DB5">
        <w:rPr>
          <w:szCs w:val="24"/>
        </w:rPr>
        <w:t xml:space="preserve">is </w:t>
      </w:r>
      <w:r w:rsidR="00563F76" w:rsidRPr="00091D58">
        <w:rPr>
          <w:szCs w:val="24"/>
        </w:rPr>
        <w:t>complet</w:t>
      </w:r>
      <w:r w:rsidR="00DD612A" w:rsidRPr="00091D58">
        <w:rPr>
          <w:szCs w:val="24"/>
        </w:rPr>
        <w:t xml:space="preserve">e and </w:t>
      </w:r>
      <w:r w:rsidR="00E24DB5">
        <w:rPr>
          <w:szCs w:val="24"/>
        </w:rPr>
        <w:t xml:space="preserve">the </w:t>
      </w:r>
      <w:r w:rsidR="00563F76" w:rsidRPr="00091D58">
        <w:rPr>
          <w:szCs w:val="24"/>
        </w:rPr>
        <w:t xml:space="preserve">matter </w:t>
      </w:r>
      <w:r w:rsidR="00E24DB5">
        <w:rPr>
          <w:szCs w:val="24"/>
        </w:rPr>
        <w:t xml:space="preserve">should </w:t>
      </w:r>
      <w:r w:rsidR="00563F76" w:rsidRPr="00091D58">
        <w:rPr>
          <w:szCs w:val="24"/>
        </w:rPr>
        <w:t>be referred to the State Office of Administrative Hearings (SO</w:t>
      </w:r>
      <w:r w:rsidR="00237664" w:rsidRPr="00091D58">
        <w:rPr>
          <w:szCs w:val="24"/>
        </w:rPr>
        <w:t xml:space="preserve">AH) </w:t>
      </w:r>
      <w:r w:rsidR="00E24DB5">
        <w:rPr>
          <w:szCs w:val="24"/>
        </w:rPr>
        <w:t>because</w:t>
      </w:r>
      <w:r w:rsidR="00237664" w:rsidRPr="00091D58">
        <w:rPr>
          <w:szCs w:val="24"/>
        </w:rPr>
        <w:t xml:space="preserve"> more than ten percent of </w:t>
      </w:r>
      <w:r w:rsidR="003250B0">
        <w:rPr>
          <w:szCs w:val="24"/>
        </w:rPr>
        <w:t>Double Diamond’s</w:t>
      </w:r>
      <w:r w:rsidR="00237664" w:rsidRPr="00091D58">
        <w:rPr>
          <w:szCs w:val="24"/>
        </w:rPr>
        <w:t xml:space="preserve"> ratepayers </w:t>
      </w:r>
      <w:r w:rsidR="00062C7D" w:rsidRPr="00091D58">
        <w:rPr>
          <w:szCs w:val="24"/>
        </w:rPr>
        <w:t>protested the rate change</w:t>
      </w:r>
      <w:r w:rsidR="00237664" w:rsidRPr="00091D58">
        <w:rPr>
          <w:szCs w:val="24"/>
        </w:rPr>
        <w:t>.</w:t>
      </w:r>
      <w:r w:rsidR="00237664" w:rsidRPr="00091D58">
        <w:rPr>
          <w:rStyle w:val="FootnoteReference"/>
          <w:position w:val="0"/>
          <w:sz w:val="24"/>
          <w:szCs w:val="24"/>
          <w:vertAlign w:val="superscript"/>
        </w:rPr>
        <w:footnoteReference w:id="1"/>
      </w:r>
      <w:r w:rsidR="006A31B6" w:rsidRPr="00091D58">
        <w:rPr>
          <w:szCs w:val="24"/>
        </w:rPr>
        <w:t xml:space="preserve">  </w:t>
      </w:r>
      <w:r w:rsidR="0066752F" w:rsidRPr="00091D58">
        <w:rPr>
          <w:szCs w:val="24"/>
        </w:rPr>
        <w:t xml:space="preserve">On </w:t>
      </w:r>
      <w:r w:rsidR="003250B0">
        <w:rPr>
          <w:szCs w:val="24"/>
        </w:rPr>
        <w:t>September 8</w:t>
      </w:r>
      <w:r w:rsidR="0092010C" w:rsidRPr="00091D58">
        <w:rPr>
          <w:szCs w:val="24"/>
        </w:rPr>
        <w:t>, 2016</w:t>
      </w:r>
      <w:r w:rsidR="0066752F" w:rsidRPr="00091D58">
        <w:rPr>
          <w:szCs w:val="24"/>
        </w:rPr>
        <w:t xml:space="preserve">, </w:t>
      </w:r>
      <w:r w:rsidR="0092010C" w:rsidRPr="00091D58">
        <w:rPr>
          <w:szCs w:val="24"/>
        </w:rPr>
        <w:t>this</w:t>
      </w:r>
      <w:r w:rsidR="00E24DB5">
        <w:rPr>
          <w:szCs w:val="24"/>
        </w:rPr>
        <w:t xml:space="preserve"> proceeding </w:t>
      </w:r>
      <w:r w:rsidR="001D3165" w:rsidRPr="00091D58">
        <w:rPr>
          <w:szCs w:val="24"/>
        </w:rPr>
        <w:t xml:space="preserve">was referred to SOAH.  </w:t>
      </w:r>
      <w:r w:rsidR="003250B0">
        <w:rPr>
          <w:szCs w:val="24"/>
        </w:rPr>
        <w:t>On September 16</w:t>
      </w:r>
      <w:r w:rsidR="00A73580" w:rsidRPr="00A73580">
        <w:rPr>
          <w:szCs w:val="24"/>
        </w:rPr>
        <w:t xml:space="preserve">, 2016, </w:t>
      </w:r>
      <w:r w:rsidR="0092010C" w:rsidRPr="00A73580">
        <w:rPr>
          <w:szCs w:val="24"/>
        </w:rPr>
        <w:t>Commission Staff</w:t>
      </w:r>
      <w:r w:rsidR="003250B0">
        <w:rPr>
          <w:szCs w:val="24"/>
        </w:rPr>
        <w:t xml:space="preserve"> and Double Diamond each</w:t>
      </w:r>
      <w:r w:rsidR="0092010C" w:rsidRPr="00A73580">
        <w:rPr>
          <w:szCs w:val="24"/>
        </w:rPr>
        <w:t xml:space="preserve"> </w:t>
      </w:r>
      <w:r w:rsidR="00E24DB5">
        <w:rPr>
          <w:szCs w:val="24"/>
        </w:rPr>
        <w:t xml:space="preserve">timely </w:t>
      </w:r>
      <w:r w:rsidR="0092010C" w:rsidRPr="00A73580">
        <w:rPr>
          <w:szCs w:val="24"/>
        </w:rPr>
        <w:t>filed a list of issues.</w:t>
      </w:r>
    </w:p>
    <w:p w:rsidR="005D35B7" w:rsidRPr="00E57C4D" w:rsidRDefault="003250B0" w:rsidP="005D35B7">
      <w:pPr>
        <w:spacing w:before="0"/>
        <w:ind w:firstLine="720"/>
        <w:contextualSpacing/>
        <w:rPr>
          <w:szCs w:val="24"/>
        </w:rPr>
      </w:pPr>
      <w:r>
        <w:rPr>
          <w:szCs w:val="24"/>
        </w:rPr>
        <w:t>Double Diamond</w:t>
      </w:r>
      <w:r w:rsidR="00F55098" w:rsidRPr="00E57C4D">
        <w:rPr>
          <w:szCs w:val="24"/>
        </w:rPr>
        <w:t xml:space="preserve"> states</w:t>
      </w:r>
      <w:r w:rsidR="00E114A8" w:rsidRPr="00E57C4D">
        <w:rPr>
          <w:szCs w:val="24"/>
        </w:rPr>
        <w:t xml:space="preserve"> it is a C</w:t>
      </w:r>
      <w:r w:rsidR="002A12E2" w:rsidRPr="00E57C4D">
        <w:rPr>
          <w:szCs w:val="24"/>
        </w:rPr>
        <w:t>lass B</w:t>
      </w:r>
      <w:r w:rsidR="00F55098" w:rsidRPr="00E57C4D">
        <w:rPr>
          <w:szCs w:val="24"/>
        </w:rPr>
        <w:t xml:space="preserve"> utility</w:t>
      </w:r>
      <w:r w:rsidR="00E114A8" w:rsidRPr="00E57C4D">
        <w:rPr>
          <w:szCs w:val="24"/>
        </w:rPr>
        <w:t>.</w:t>
      </w:r>
      <w:r w:rsidR="00E114A8" w:rsidRPr="00E57C4D">
        <w:rPr>
          <w:rStyle w:val="FootnoteReference"/>
          <w:position w:val="0"/>
          <w:sz w:val="24"/>
          <w:szCs w:val="24"/>
          <w:vertAlign w:val="superscript"/>
        </w:rPr>
        <w:footnoteReference w:id="2"/>
      </w:r>
      <w:r w:rsidR="007F05ED" w:rsidRPr="00E57C4D">
        <w:rPr>
          <w:szCs w:val="24"/>
        </w:rPr>
        <w:t xml:space="preserve">  In its application, </w:t>
      </w:r>
      <w:r>
        <w:rPr>
          <w:szCs w:val="24"/>
        </w:rPr>
        <w:t>Double Diamond requests approval of a</w:t>
      </w:r>
      <w:r w:rsidR="003B3F58">
        <w:rPr>
          <w:szCs w:val="24"/>
        </w:rPr>
        <w:t xml:space="preserve"> total</w:t>
      </w:r>
      <w:r>
        <w:rPr>
          <w:szCs w:val="24"/>
        </w:rPr>
        <w:t xml:space="preserve"> </w:t>
      </w:r>
      <w:r w:rsidR="005D35B7" w:rsidRPr="00E57C4D">
        <w:rPr>
          <w:szCs w:val="24"/>
        </w:rPr>
        <w:t>revenue requirement</w:t>
      </w:r>
      <w:r w:rsidR="003B3F58">
        <w:rPr>
          <w:szCs w:val="24"/>
        </w:rPr>
        <w:t xml:space="preserve"> of $229,944</w:t>
      </w:r>
      <w:r w:rsidR="005D35B7" w:rsidRPr="00E57C4D">
        <w:rPr>
          <w:szCs w:val="24"/>
        </w:rPr>
        <w:t>, effective October 1, 2016.</w:t>
      </w:r>
      <w:r w:rsidR="005D35B7" w:rsidRPr="00E57C4D">
        <w:rPr>
          <w:rStyle w:val="FootnoteReference"/>
          <w:sz w:val="24"/>
          <w:szCs w:val="24"/>
          <w:vertAlign w:val="superscript"/>
        </w:rPr>
        <w:footnoteReference w:id="3"/>
      </w:r>
      <w:r w:rsidR="005D35B7" w:rsidRPr="00E57C4D">
        <w:rPr>
          <w:szCs w:val="24"/>
          <w:vertAlign w:val="superscript"/>
        </w:rPr>
        <w:t xml:space="preserve"> </w:t>
      </w:r>
      <w:r w:rsidR="005D35B7" w:rsidRPr="00E57C4D">
        <w:rPr>
          <w:szCs w:val="24"/>
        </w:rPr>
        <w:t xml:space="preserve"> </w:t>
      </w:r>
      <w:r w:rsidR="005D35B7">
        <w:rPr>
          <w:szCs w:val="24"/>
        </w:rPr>
        <w:t>The p</w:t>
      </w:r>
      <w:r>
        <w:rPr>
          <w:szCs w:val="24"/>
        </w:rPr>
        <w:t>roposed rate increase affects 927</w:t>
      </w:r>
      <w:r w:rsidR="005D35B7">
        <w:rPr>
          <w:szCs w:val="24"/>
        </w:rPr>
        <w:t xml:space="preserve"> active connections in </w:t>
      </w:r>
      <w:r w:rsidR="007F05ED" w:rsidRPr="00E57C4D">
        <w:rPr>
          <w:szCs w:val="24"/>
        </w:rPr>
        <w:t xml:space="preserve">the </w:t>
      </w:r>
      <w:r w:rsidRPr="003250B0">
        <w:rPr>
          <w:szCs w:val="24"/>
        </w:rPr>
        <w:t>Cliffs and White Bluff s</w:t>
      </w:r>
      <w:r w:rsidR="00E24DB5">
        <w:rPr>
          <w:szCs w:val="24"/>
        </w:rPr>
        <w:t>ystems</w:t>
      </w:r>
      <w:r w:rsidRPr="003250B0">
        <w:rPr>
          <w:szCs w:val="24"/>
        </w:rPr>
        <w:t>.</w:t>
      </w:r>
      <w:r w:rsidR="003B3F58">
        <w:rPr>
          <w:rStyle w:val="FootnoteReference"/>
          <w:szCs w:val="24"/>
        </w:rPr>
        <w:footnoteReference w:id="4"/>
      </w:r>
      <w:r w:rsidR="005D35B7">
        <w:rPr>
          <w:szCs w:val="24"/>
        </w:rPr>
        <w:t xml:space="preserve"> </w:t>
      </w:r>
    </w:p>
    <w:p w:rsidR="00275B22" w:rsidRDefault="00275B22">
      <w:pPr>
        <w:spacing w:before="0"/>
      </w:pPr>
    </w:p>
    <w:p w:rsidR="0039378D" w:rsidRPr="003C35B5" w:rsidRDefault="0039378D">
      <w:pPr>
        <w:spacing w:before="0"/>
      </w:pPr>
    </w:p>
    <w:p w:rsidR="00275B22" w:rsidRPr="003C35B5" w:rsidRDefault="00275B22">
      <w:pPr>
        <w:spacing w:before="0"/>
        <w:jc w:val="center"/>
      </w:pPr>
      <w:r w:rsidRPr="003C35B5">
        <w:rPr>
          <w:b/>
        </w:rPr>
        <w:lastRenderedPageBreak/>
        <w:t xml:space="preserve">I.  </w:t>
      </w:r>
      <w:r w:rsidR="002B0DD0" w:rsidRPr="003C35B5">
        <w:rPr>
          <w:b/>
        </w:rPr>
        <w:t>Issues to b</w:t>
      </w:r>
      <w:r w:rsidR="00C35689" w:rsidRPr="003C35B5">
        <w:rPr>
          <w:b/>
        </w:rPr>
        <w:t>e Addressed</w:t>
      </w:r>
    </w:p>
    <w:p w:rsidR="00275B22" w:rsidRPr="003C35B5" w:rsidRDefault="00275B22">
      <w:pPr>
        <w:spacing w:before="0"/>
        <w:jc w:val="center"/>
      </w:pPr>
    </w:p>
    <w:p w:rsidR="00275B22" w:rsidRPr="003C35B5" w:rsidRDefault="00275B22" w:rsidP="002B0DD0">
      <w:pPr>
        <w:spacing w:before="0"/>
      </w:pPr>
      <w:r w:rsidRPr="003C35B5">
        <w:tab/>
      </w:r>
      <w:r w:rsidR="00364BA2" w:rsidRPr="003C35B5">
        <w:t>T</w:t>
      </w:r>
      <w:r w:rsidRPr="003C35B5">
        <w:t xml:space="preserve">he Commission must provide to the </w:t>
      </w:r>
      <w:r w:rsidR="00310A7C">
        <w:t>ALJ</w:t>
      </w:r>
      <w:r w:rsidRPr="003C35B5">
        <w:t xml:space="preserve"> </w:t>
      </w:r>
      <w:r w:rsidR="002B0DD0" w:rsidRPr="003C35B5">
        <w:t xml:space="preserve">a list of issues or areas to be </w:t>
      </w:r>
      <w:r w:rsidRPr="003C35B5">
        <w:t>addressed i</w:t>
      </w:r>
      <w:r w:rsidR="00310A7C">
        <w:t>n any proceeding referred to SOAH</w:t>
      </w:r>
      <w:r w:rsidRPr="003C35B5">
        <w:t>.</w:t>
      </w:r>
      <w:r w:rsidR="00364BA2" w:rsidRPr="002D7BD1">
        <w:rPr>
          <w:rStyle w:val="FootnoteReference"/>
          <w:position w:val="0"/>
          <w:sz w:val="24"/>
          <w:szCs w:val="24"/>
          <w:vertAlign w:val="superscript"/>
        </w:rPr>
        <w:footnoteReference w:id="5"/>
      </w:r>
      <w:r w:rsidRPr="002D7BD1">
        <w:t xml:space="preserve">  </w:t>
      </w:r>
      <w:r w:rsidRPr="003C35B5">
        <w:t>After reviewing the pleadings submitted by the parties, the Commission identifies the following issues that must be addressed in this docket:</w:t>
      </w:r>
    </w:p>
    <w:p w:rsidR="00F55098" w:rsidRDefault="00F55098" w:rsidP="00F96ED0">
      <w:pPr>
        <w:pStyle w:val="ItemList"/>
        <w:numPr>
          <w:ilvl w:val="0"/>
          <w:numId w:val="1"/>
        </w:numPr>
        <w:spacing w:before="240"/>
        <w:ind w:left="720" w:hanging="720"/>
      </w:pPr>
      <w:r>
        <w:t>What is the appropriate methodology to determine just and</w:t>
      </w:r>
      <w:r w:rsidR="00E24DB5">
        <w:t xml:space="preserve"> reasonable rates in this proceeding</w:t>
      </w:r>
      <w:r>
        <w:t>?</w:t>
      </w:r>
    </w:p>
    <w:p w:rsidR="00F96ED0" w:rsidRDefault="00F96ED0" w:rsidP="00F96ED0">
      <w:pPr>
        <w:pStyle w:val="ItemList"/>
        <w:numPr>
          <w:ilvl w:val="0"/>
          <w:numId w:val="1"/>
        </w:numPr>
        <w:spacing w:before="240"/>
        <w:ind w:left="720" w:hanging="720"/>
      </w:pPr>
      <w:r w:rsidRPr="00F96ED0">
        <w:t>What are the just and reasonable rates for the utility that are sufficient, equitable, and</w:t>
      </w:r>
      <w:r>
        <w:t xml:space="preserve"> </w:t>
      </w:r>
      <w:r w:rsidRPr="00F96ED0">
        <w:t>consistent in application to each customer class and that are not unreasonably preferential,</w:t>
      </w:r>
      <w:r>
        <w:t xml:space="preserve"> </w:t>
      </w:r>
      <w:r w:rsidRPr="00F96ED0">
        <w:t>prejudicial, or discriminatory?</w:t>
      </w:r>
      <w:r w:rsidR="001E48DE" w:rsidRPr="002D7BD1">
        <w:rPr>
          <w:rStyle w:val="FootnoteReference"/>
          <w:position w:val="0"/>
          <w:sz w:val="24"/>
          <w:szCs w:val="24"/>
          <w:vertAlign w:val="superscript"/>
        </w:rPr>
        <w:footnoteReference w:id="6"/>
      </w:r>
      <w:r w:rsidRPr="002D7BD1">
        <w:t xml:space="preserve"> </w:t>
      </w:r>
      <w:r>
        <w:t xml:space="preserve"> </w:t>
      </w:r>
    </w:p>
    <w:p w:rsidR="00F96ED0" w:rsidRDefault="00F96ED0" w:rsidP="00F96ED0">
      <w:pPr>
        <w:pStyle w:val="ItemList"/>
        <w:numPr>
          <w:ilvl w:val="0"/>
          <w:numId w:val="1"/>
        </w:numPr>
        <w:spacing w:before="240"/>
        <w:ind w:left="720" w:hanging="720"/>
      </w:pPr>
      <w:r>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001E48DE" w:rsidRPr="002D7BD1">
        <w:rPr>
          <w:rStyle w:val="FootnoteReference"/>
          <w:position w:val="0"/>
          <w:sz w:val="24"/>
          <w:szCs w:val="24"/>
          <w:vertAlign w:val="superscript"/>
        </w:rPr>
        <w:footnoteReference w:id="7"/>
      </w:r>
      <w:r w:rsidRPr="002D7BD1">
        <w:rPr>
          <w:szCs w:val="24"/>
          <w:vertAlign w:val="superscript"/>
        </w:rPr>
        <w:t xml:space="preserve"> </w:t>
      </w:r>
    </w:p>
    <w:p w:rsidR="00F96ED0" w:rsidRPr="008E4174" w:rsidRDefault="00F96ED0" w:rsidP="00F96ED0">
      <w:pPr>
        <w:pStyle w:val="ItemList"/>
        <w:numPr>
          <w:ilvl w:val="0"/>
          <w:numId w:val="1"/>
        </w:numPr>
        <w:spacing w:before="240"/>
        <w:ind w:left="720" w:hanging="720"/>
      </w:pPr>
      <w:r w:rsidRPr="008E4174">
        <w:t>Are the utility's proposed revisions to its tariffs and rate schedules</w:t>
      </w:r>
      <w:r w:rsidR="00E24DB5">
        <w:t xml:space="preserve"> </w:t>
      </w:r>
      <w:r w:rsidRPr="008E4174">
        <w:t>appropriate?</w:t>
      </w:r>
    </w:p>
    <w:p w:rsidR="00F96ED0" w:rsidRDefault="00F96ED0" w:rsidP="00F96ED0">
      <w:pPr>
        <w:pStyle w:val="ItemList"/>
        <w:numPr>
          <w:ilvl w:val="0"/>
          <w:numId w:val="1"/>
        </w:numPr>
        <w:spacing w:before="240"/>
        <w:ind w:left="720" w:hanging="720"/>
      </w:pPr>
      <w:r>
        <w:t>What is the reasonable and necessary cost of providing service?</w:t>
      </w:r>
      <w:r w:rsidR="001E48DE" w:rsidRPr="002D7BD1">
        <w:rPr>
          <w:rStyle w:val="FootnoteReference"/>
          <w:position w:val="0"/>
          <w:sz w:val="24"/>
          <w:szCs w:val="24"/>
          <w:vertAlign w:val="superscript"/>
        </w:rPr>
        <w:footnoteReference w:id="8"/>
      </w:r>
      <w:r w:rsidRPr="002D7BD1">
        <w:rPr>
          <w:szCs w:val="24"/>
          <w:vertAlign w:val="superscript"/>
        </w:rPr>
        <w:t xml:space="preserve"> </w:t>
      </w:r>
    </w:p>
    <w:p w:rsidR="00F96ED0" w:rsidRDefault="00F96ED0" w:rsidP="00F96ED0">
      <w:pPr>
        <w:pStyle w:val="ItemList"/>
        <w:numPr>
          <w:ilvl w:val="0"/>
          <w:numId w:val="1"/>
        </w:numPr>
        <w:spacing w:before="240"/>
        <w:ind w:left="720" w:hanging="720"/>
      </w:pPr>
      <w:r>
        <w:t>What adjustments, if any, should be made to the utility’s proposed</w:t>
      </w:r>
      <w:r w:rsidR="001E48DE">
        <w:t xml:space="preserve"> test-year data?</w:t>
      </w:r>
      <w:r w:rsidR="001E48DE" w:rsidRPr="002D7BD1">
        <w:rPr>
          <w:rStyle w:val="FootnoteReference"/>
          <w:position w:val="0"/>
          <w:sz w:val="24"/>
          <w:szCs w:val="24"/>
          <w:vertAlign w:val="superscript"/>
        </w:rPr>
        <w:footnoteReference w:id="9"/>
      </w:r>
    </w:p>
    <w:p w:rsidR="00F96ED0" w:rsidRDefault="00F96ED0" w:rsidP="00F96ED0">
      <w:pPr>
        <w:pStyle w:val="ItemList"/>
        <w:numPr>
          <w:ilvl w:val="0"/>
          <w:numId w:val="1"/>
        </w:numPr>
        <w:spacing w:before="240"/>
        <w:ind w:left="720" w:hanging="720"/>
      </w:pPr>
      <w:r>
        <w:t>What is the appropriate debt-to-equity capital structure of the utility?</w:t>
      </w:r>
    </w:p>
    <w:p w:rsidR="00F96ED0" w:rsidRDefault="00F96ED0" w:rsidP="00F96ED0">
      <w:pPr>
        <w:pStyle w:val="ItemList"/>
        <w:numPr>
          <w:ilvl w:val="0"/>
          <w:numId w:val="1"/>
        </w:numPr>
        <w:spacing w:before="240"/>
        <w:ind w:left="720" w:hanging="720"/>
      </w:pPr>
      <w:r>
        <w:lastRenderedPageBreak/>
        <w:t>What is the appropriate overall rate of return, return on equity, and cost of debt for the utility?</w:t>
      </w:r>
    </w:p>
    <w:p w:rsidR="00F96ED0" w:rsidRDefault="00F96ED0" w:rsidP="00F96ED0">
      <w:pPr>
        <w:pStyle w:val="ItemList"/>
        <w:numPr>
          <w:ilvl w:val="0"/>
          <w:numId w:val="1"/>
        </w:numPr>
        <w:spacing w:before="240"/>
        <w:ind w:left="720" w:hanging="720"/>
      </w:pPr>
      <w:r>
        <w:t>What are the reasonable and necessary components of the utility's invested capital?</w:t>
      </w:r>
      <w:r w:rsidR="006220C0" w:rsidRPr="002D7BD1">
        <w:rPr>
          <w:rStyle w:val="FootnoteReference"/>
          <w:position w:val="0"/>
          <w:sz w:val="24"/>
          <w:szCs w:val="24"/>
          <w:vertAlign w:val="superscript"/>
        </w:rPr>
        <w:footnoteReference w:id="10"/>
      </w:r>
    </w:p>
    <w:p w:rsidR="00CF03EC" w:rsidRDefault="00CF03EC" w:rsidP="00F96ED0">
      <w:pPr>
        <w:pStyle w:val="ItemList"/>
        <w:numPr>
          <w:ilvl w:val="0"/>
          <w:numId w:val="1"/>
        </w:numPr>
        <w:spacing w:before="240"/>
        <w:ind w:left="720" w:hanging="720"/>
      </w:pPr>
      <w:r>
        <w:t>What is the appropriate weighted average cost of capital?</w:t>
      </w:r>
    </w:p>
    <w:p w:rsidR="00F96ED0" w:rsidRDefault="00F96ED0" w:rsidP="00F96ED0">
      <w:pPr>
        <w:pStyle w:val="ItemList"/>
        <w:numPr>
          <w:ilvl w:val="0"/>
          <w:numId w:val="1"/>
        </w:numPr>
        <w:spacing w:before="240"/>
        <w:ind w:left="720" w:hanging="720"/>
      </w:pPr>
      <w:r>
        <w:t xml:space="preserve">What is the amount for an allowance for funds used during construction, if any, that is being transferred to invested capital in this proceeding? </w:t>
      </w:r>
      <w:r w:rsidR="00BC2C89">
        <w:t xml:space="preserve"> </w:t>
      </w:r>
      <w:r>
        <w:t>If such amounts are being transferred, for what facilities and at what rate did the allowance for funds used during construction accrue?</w:t>
      </w:r>
    </w:p>
    <w:p w:rsidR="00CF03EC" w:rsidRPr="00CF03EC" w:rsidRDefault="00F96ED0" w:rsidP="006908E0">
      <w:pPr>
        <w:pStyle w:val="ItemList"/>
        <w:numPr>
          <w:ilvl w:val="0"/>
          <w:numId w:val="1"/>
        </w:numPr>
        <w:spacing w:before="240"/>
        <w:ind w:left="720" w:hanging="720"/>
      </w:pPr>
      <w:r w:rsidRPr="00FC4258">
        <w:t>What is the original cost of the property used and useful in providing water service to the public at the time the property was dedicated to public use?</w:t>
      </w:r>
      <w:r w:rsidR="006220C0" w:rsidRPr="002D7BD1">
        <w:rPr>
          <w:rStyle w:val="FootnoteReference"/>
          <w:position w:val="0"/>
          <w:sz w:val="24"/>
          <w:szCs w:val="24"/>
          <w:vertAlign w:val="superscript"/>
        </w:rPr>
        <w:footnoteReference w:id="11"/>
      </w:r>
      <w:r w:rsidR="00B153B8" w:rsidRPr="002D7BD1">
        <w:rPr>
          <w:szCs w:val="24"/>
          <w:vertAlign w:val="superscript"/>
        </w:rPr>
        <w:t xml:space="preserve"> </w:t>
      </w:r>
      <w:r w:rsidR="00B153B8" w:rsidRPr="006A31B6">
        <w:rPr>
          <w:szCs w:val="24"/>
          <w:vertAlign w:val="superscript"/>
        </w:rPr>
        <w:t xml:space="preserve"> </w:t>
      </w:r>
    </w:p>
    <w:p w:rsidR="006908E0" w:rsidRPr="00FC4258" w:rsidRDefault="00B153B8" w:rsidP="00CF03EC">
      <w:pPr>
        <w:pStyle w:val="ItemList"/>
        <w:numPr>
          <w:ilvl w:val="0"/>
          <w:numId w:val="16"/>
        </w:numPr>
        <w:spacing w:before="240"/>
      </w:pPr>
      <w:r>
        <w:t>What is the amount, if any, of accumulated depreciation on such property?</w:t>
      </w:r>
    </w:p>
    <w:p w:rsidR="00755554" w:rsidRPr="002D7BD1" w:rsidRDefault="006908E0" w:rsidP="00755554">
      <w:pPr>
        <w:pStyle w:val="ItemList"/>
        <w:numPr>
          <w:ilvl w:val="0"/>
          <w:numId w:val="1"/>
        </w:numPr>
        <w:spacing w:before="240"/>
        <w:ind w:left="720" w:hanging="720"/>
      </w:pPr>
      <w:r w:rsidRPr="006908E0">
        <w:t xml:space="preserve">Is the utility seeking the inclusion of construction work in progress? </w:t>
      </w:r>
      <w:r w:rsidR="00BC2C89">
        <w:t xml:space="preserve"> </w:t>
      </w:r>
      <w:r w:rsidRPr="006908E0">
        <w:t>If so, what is the</w:t>
      </w:r>
      <w:r>
        <w:t xml:space="preserve"> </w:t>
      </w:r>
      <w:r w:rsidRPr="006908E0">
        <w:t xml:space="preserve">amount </w:t>
      </w:r>
      <w:r w:rsidR="00755554">
        <w:t xml:space="preserve">sought and for what facilities?  </w:t>
      </w:r>
      <w:r w:rsidRPr="006908E0">
        <w:t>Additionally, has the utility proven that the</w:t>
      </w:r>
      <w:r>
        <w:t xml:space="preserve"> </w:t>
      </w:r>
      <w:r w:rsidRPr="006908E0">
        <w:t>inclusion is necessary to the financial integrity of the utility and that major projects under</w:t>
      </w:r>
      <w:r w:rsidR="00755554">
        <w:t xml:space="preserve"> </w:t>
      </w:r>
      <w:r w:rsidRPr="006908E0">
        <w:t>construction have been efficiently and</w:t>
      </w:r>
      <w:r w:rsidR="00755554">
        <w:t xml:space="preserve"> prudently planned and managed</w:t>
      </w:r>
      <w:r w:rsidR="006220C0">
        <w:t>?</w:t>
      </w:r>
      <w:r w:rsidR="006220C0" w:rsidRPr="002D7BD1">
        <w:rPr>
          <w:rStyle w:val="FootnoteReference"/>
          <w:position w:val="0"/>
          <w:sz w:val="24"/>
          <w:szCs w:val="24"/>
          <w:vertAlign w:val="superscript"/>
        </w:rPr>
        <w:footnoteReference w:id="12"/>
      </w:r>
    </w:p>
    <w:p w:rsidR="00B153B8" w:rsidRDefault="00B153B8" w:rsidP="00755554">
      <w:pPr>
        <w:pStyle w:val="ItemList"/>
        <w:numPr>
          <w:ilvl w:val="0"/>
          <w:numId w:val="1"/>
        </w:numPr>
        <w:spacing w:before="240"/>
        <w:ind w:left="720" w:hanging="720"/>
      </w:pPr>
      <w:r>
        <w:t>Does the utility have any debt? If so, what is the cost of that debt?</w:t>
      </w:r>
    </w:p>
    <w:p w:rsidR="00755554" w:rsidRDefault="00755554" w:rsidP="00755554">
      <w:pPr>
        <w:pStyle w:val="ItemList"/>
        <w:numPr>
          <w:ilvl w:val="0"/>
          <w:numId w:val="1"/>
        </w:numPr>
        <w:spacing w:before="240"/>
        <w:ind w:left="720" w:hanging="720"/>
      </w:pPr>
      <w:r>
        <w:t>What is the reasonable and necessary working cap</w:t>
      </w:r>
      <w:r w:rsidR="006220C0">
        <w:t>ital allowance for the utility?</w:t>
      </w:r>
      <w:r w:rsidR="006220C0" w:rsidRPr="002D7BD1">
        <w:rPr>
          <w:rStyle w:val="FootnoteReference"/>
          <w:position w:val="0"/>
          <w:sz w:val="24"/>
          <w:szCs w:val="24"/>
          <w:vertAlign w:val="superscript"/>
        </w:rPr>
        <w:footnoteReference w:id="13"/>
      </w:r>
    </w:p>
    <w:p w:rsidR="00755554" w:rsidRDefault="00755554" w:rsidP="00755554">
      <w:pPr>
        <w:pStyle w:val="ItemList"/>
        <w:numPr>
          <w:ilvl w:val="0"/>
          <w:numId w:val="1"/>
        </w:numPr>
        <w:spacing w:before="240"/>
        <w:ind w:left="720" w:hanging="720"/>
      </w:pPr>
      <w:r>
        <w:t xml:space="preserve">Does the utility have any water </w:t>
      </w:r>
      <w:r w:rsidR="00E24DB5">
        <w:t xml:space="preserve">or sewer </w:t>
      </w:r>
      <w:r>
        <w:t xml:space="preserve">property that was acquired from an affiliate or a developer before September 1, 1976?  If so, has such property been included by the utility </w:t>
      </w:r>
      <w:r>
        <w:lastRenderedPageBreak/>
        <w:t>in its rate base, and has it been included in all ratemaking formulas at the actual cost of the property rather than the price set between the entities?</w:t>
      </w:r>
      <w:r w:rsidR="006220C0" w:rsidRPr="002D7BD1">
        <w:rPr>
          <w:rStyle w:val="FootnoteReference"/>
          <w:position w:val="0"/>
          <w:sz w:val="24"/>
          <w:szCs w:val="24"/>
          <w:vertAlign w:val="superscript"/>
        </w:rPr>
        <w:footnoteReference w:id="14"/>
      </w:r>
    </w:p>
    <w:p w:rsidR="00D808F0" w:rsidRDefault="00755554" w:rsidP="00755554">
      <w:pPr>
        <w:pStyle w:val="ItemList"/>
        <w:numPr>
          <w:ilvl w:val="0"/>
          <w:numId w:val="1"/>
        </w:numPr>
        <w:spacing w:before="240"/>
        <w:ind w:left="720" w:hanging="720"/>
      </w:pPr>
      <w:r>
        <w:t>Has the utility acquired any water property from an affiliate?  If so, do the payments for that property</w:t>
      </w:r>
      <w:r w:rsidR="00D808F0">
        <w:t xml:space="preserve"> meet the requirements of TWC § </w:t>
      </w:r>
      <w:r>
        <w:t xml:space="preserve">13.185(e)?  </w:t>
      </w:r>
    </w:p>
    <w:p w:rsidR="00755554" w:rsidRDefault="00755554" w:rsidP="00755554">
      <w:pPr>
        <w:pStyle w:val="ItemList"/>
        <w:numPr>
          <w:ilvl w:val="0"/>
          <w:numId w:val="1"/>
        </w:numPr>
        <w:spacing w:before="240"/>
        <w:ind w:left="720" w:hanging="720"/>
      </w:pPr>
      <w:r>
        <w:t>Has the utility financed any of its plant with developer contributions?</w:t>
      </w:r>
      <w:r w:rsidR="006220C0" w:rsidRPr="002D7BD1">
        <w:rPr>
          <w:rStyle w:val="FootnoteReference"/>
          <w:position w:val="0"/>
          <w:sz w:val="24"/>
          <w:szCs w:val="24"/>
          <w:vertAlign w:val="superscript"/>
        </w:rPr>
        <w:footnoteReference w:id="15"/>
      </w:r>
      <w:r w:rsidR="00E36833">
        <w:t xml:space="preserve">  What is the amount, if any, of accumulated depreciation on that property?</w:t>
      </w:r>
    </w:p>
    <w:p w:rsidR="00755554" w:rsidRDefault="00755554" w:rsidP="00D808F0">
      <w:pPr>
        <w:pStyle w:val="ItemList"/>
        <w:numPr>
          <w:ilvl w:val="0"/>
          <w:numId w:val="1"/>
        </w:numPr>
        <w:spacing w:before="240"/>
        <w:ind w:left="720" w:hanging="720"/>
      </w:pPr>
      <w:r>
        <w:t>Has the utility included any customer contributions or donations in invested capital?</w:t>
      </w:r>
      <w:r w:rsidR="006220C0" w:rsidRPr="002D7BD1">
        <w:rPr>
          <w:rStyle w:val="FootnoteReference"/>
          <w:position w:val="0"/>
          <w:sz w:val="24"/>
          <w:szCs w:val="24"/>
          <w:vertAlign w:val="superscript"/>
        </w:rPr>
        <w:footnoteReference w:id="16"/>
      </w:r>
      <w:r w:rsidRPr="006A31B6">
        <w:rPr>
          <w:szCs w:val="24"/>
          <w:vertAlign w:val="superscript"/>
        </w:rPr>
        <w:t xml:space="preserve"> </w:t>
      </w:r>
    </w:p>
    <w:p w:rsidR="00755554" w:rsidRPr="006A31B6" w:rsidRDefault="00755554" w:rsidP="00755554">
      <w:pPr>
        <w:pStyle w:val="ItemList"/>
        <w:numPr>
          <w:ilvl w:val="0"/>
          <w:numId w:val="1"/>
        </w:numPr>
        <w:spacing w:before="240"/>
        <w:ind w:left="720" w:hanging="720"/>
        <w:rPr>
          <w:szCs w:val="24"/>
          <w:vertAlign w:val="superscript"/>
        </w:rPr>
      </w:pPr>
      <w:r>
        <w:t>What are the utility's reasonable and necessary operations and maintenance expenses?</w:t>
      </w:r>
      <w:r w:rsidR="006220C0" w:rsidRPr="002D7BD1">
        <w:rPr>
          <w:rStyle w:val="FootnoteReference"/>
          <w:position w:val="0"/>
          <w:sz w:val="24"/>
          <w:szCs w:val="24"/>
          <w:vertAlign w:val="superscript"/>
        </w:rPr>
        <w:footnoteReference w:id="17"/>
      </w:r>
    </w:p>
    <w:p w:rsidR="00755554" w:rsidRDefault="00755554" w:rsidP="00755554">
      <w:pPr>
        <w:pStyle w:val="ItemList"/>
        <w:numPr>
          <w:ilvl w:val="0"/>
          <w:numId w:val="1"/>
        </w:numPr>
        <w:spacing w:before="240"/>
        <w:ind w:left="720" w:hanging="720"/>
      </w:pPr>
      <w:r>
        <w:t>What are the utility's reasonable and necessary administrative and general expenses?</w:t>
      </w:r>
    </w:p>
    <w:p w:rsidR="00755554" w:rsidRPr="002D7BD1" w:rsidRDefault="00755554" w:rsidP="00755554">
      <w:pPr>
        <w:pStyle w:val="ItemList"/>
        <w:numPr>
          <w:ilvl w:val="0"/>
          <w:numId w:val="1"/>
        </w:numPr>
        <w:spacing w:before="240"/>
        <w:ind w:left="720" w:hanging="720"/>
      </w:pPr>
      <w:r>
        <w:t>What is the reasonable and necessary amount for the utility's advertising expense, contributions, and donations</w:t>
      </w:r>
      <w:r w:rsidRPr="002D7BD1">
        <w:t>?</w:t>
      </w:r>
      <w:r w:rsidR="006220C0" w:rsidRPr="002D7BD1">
        <w:rPr>
          <w:rStyle w:val="FootnoteReference"/>
          <w:position w:val="0"/>
          <w:sz w:val="24"/>
          <w:szCs w:val="24"/>
          <w:vertAlign w:val="superscript"/>
        </w:rPr>
        <w:footnoteReference w:id="18"/>
      </w:r>
    </w:p>
    <w:p w:rsidR="00755554" w:rsidRDefault="00755554" w:rsidP="00755554">
      <w:pPr>
        <w:pStyle w:val="ItemList"/>
        <w:numPr>
          <w:ilvl w:val="0"/>
          <w:numId w:val="1"/>
        </w:numPr>
        <w:spacing w:before="240"/>
        <w:ind w:left="720" w:hanging="720"/>
      </w:pPr>
      <w:r>
        <w:t>Are any expenses, including but not limited to, executive salaries, advertising expenses, legal expenses, penalties and interest on overdue taxes, criminal penalties or fines, and civil penalties or fines, unreasonable, unnecessary, or not in the public interest?</w:t>
      </w:r>
      <w:r w:rsidR="006220C0" w:rsidRPr="002D7BD1">
        <w:rPr>
          <w:rStyle w:val="FootnoteReference"/>
          <w:position w:val="0"/>
          <w:sz w:val="24"/>
          <w:szCs w:val="24"/>
          <w:vertAlign w:val="superscript"/>
        </w:rPr>
        <w:footnoteReference w:id="19"/>
      </w:r>
    </w:p>
    <w:p w:rsidR="00B153B8" w:rsidRDefault="00B153B8" w:rsidP="00755554">
      <w:pPr>
        <w:pStyle w:val="ItemList"/>
        <w:numPr>
          <w:ilvl w:val="0"/>
          <w:numId w:val="1"/>
        </w:numPr>
        <w:spacing w:before="240"/>
        <w:ind w:left="720" w:hanging="720"/>
      </w:pPr>
      <w:r>
        <w:t xml:space="preserve">If the utility has a self-insurance plan approved by the Commission or other regulatory authority, what is the approved target amount for the reserve account, and is it appropriate to charge that amount?  What is the amount of any shortage or surplus for the reserve </w:t>
      </w:r>
      <w:r>
        <w:lastRenderedPageBreak/>
        <w:t>account, and what actions, if any, should be taken to return the reserve account to the approved target amount?</w:t>
      </w:r>
    </w:p>
    <w:p w:rsidR="00CF03EC" w:rsidRDefault="00CF03EC" w:rsidP="00B153B8">
      <w:pPr>
        <w:pStyle w:val="ItemList"/>
        <w:numPr>
          <w:ilvl w:val="0"/>
          <w:numId w:val="1"/>
        </w:numPr>
        <w:spacing w:before="240"/>
        <w:ind w:left="720" w:hanging="720"/>
      </w:pPr>
      <w:r>
        <w:t xml:space="preserve">What are the utility’s reasonable and necessary expenses, if any, for pension and other post-employment benefits? </w:t>
      </w:r>
    </w:p>
    <w:p w:rsidR="00B153B8" w:rsidRDefault="00B153B8" w:rsidP="00B153B8">
      <w:pPr>
        <w:pStyle w:val="ItemList"/>
        <w:numPr>
          <w:ilvl w:val="0"/>
          <w:numId w:val="1"/>
        </w:numPr>
        <w:spacing w:before="240"/>
        <w:ind w:left="720" w:hanging="720"/>
      </w:pPr>
      <w:r>
        <w:t>Has the utility made any payments to affiliates?</w:t>
      </w:r>
    </w:p>
    <w:p w:rsidR="00B153B8" w:rsidRDefault="00B153B8" w:rsidP="00B153B8">
      <w:pPr>
        <w:pStyle w:val="ItemList"/>
        <w:numPr>
          <w:ilvl w:val="0"/>
          <w:numId w:val="14"/>
        </w:numPr>
        <w:spacing w:before="240"/>
      </w:pPr>
      <w:r>
        <w:t>For affiliate transactions that affect the cost of service, are these transactions reasonable and necessary?</w:t>
      </w:r>
      <w:r w:rsidRPr="002D7BD1">
        <w:rPr>
          <w:rStyle w:val="FootnoteReference"/>
          <w:position w:val="0"/>
          <w:sz w:val="24"/>
          <w:szCs w:val="24"/>
          <w:vertAlign w:val="superscript"/>
        </w:rPr>
        <w:footnoteReference w:id="20"/>
      </w:r>
    </w:p>
    <w:p w:rsidR="00B153B8" w:rsidRPr="002D7BD1" w:rsidRDefault="00B153B8" w:rsidP="00B153B8">
      <w:pPr>
        <w:pStyle w:val="ItemList"/>
        <w:numPr>
          <w:ilvl w:val="0"/>
          <w:numId w:val="14"/>
        </w:numPr>
        <w:spacing w:before="240"/>
      </w:pPr>
      <w: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Pr="002D7BD1">
        <w:t>?</w:t>
      </w:r>
      <w:r w:rsidRPr="002D7BD1">
        <w:rPr>
          <w:rStyle w:val="FootnoteReference"/>
          <w:position w:val="0"/>
          <w:sz w:val="24"/>
          <w:szCs w:val="24"/>
          <w:vertAlign w:val="superscript"/>
        </w:rPr>
        <w:footnoteReference w:id="21"/>
      </w:r>
    </w:p>
    <w:p w:rsidR="00B153B8" w:rsidRPr="002D7BD1" w:rsidRDefault="00755554" w:rsidP="00B153B8">
      <w:pPr>
        <w:pStyle w:val="ItemList"/>
        <w:numPr>
          <w:ilvl w:val="0"/>
          <w:numId w:val="1"/>
        </w:numPr>
        <w:spacing w:before="240"/>
        <w:ind w:left="720" w:hanging="720"/>
      </w:pPr>
      <w:r>
        <w:t xml:space="preserve">What is the reasonable and necessary depreciation expense? </w:t>
      </w:r>
      <w:r w:rsidR="00BC2C89">
        <w:t xml:space="preserve"> </w:t>
      </w:r>
      <w:r>
        <w:t>For each class of property, what are the proper and adequate depreciation rates (including service lives and salvage values) and methods of depreciation?</w:t>
      </w:r>
      <w:r w:rsidR="006220C0" w:rsidRPr="002D7BD1">
        <w:rPr>
          <w:rStyle w:val="FootnoteReference"/>
          <w:position w:val="0"/>
          <w:sz w:val="24"/>
          <w:szCs w:val="24"/>
          <w:vertAlign w:val="superscript"/>
        </w:rPr>
        <w:footnoteReference w:id="22"/>
      </w:r>
    </w:p>
    <w:p w:rsidR="00B153B8" w:rsidRPr="00B153B8" w:rsidRDefault="00B153B8" w:rsidP="00B153B8">
      <w:pPr>
        <w:pStyle w:val="ItemList"/>
        <w:numPr>
          <w:ilvl w:val="0"/>
          <w:numId w:val="1"/>
        </w:numPr>
        <w:spacing w:before="240"/>
        <w:ind w:left="720" w:hanging="720"/>
      </w:pPr>
      <w:r w:rsidRPr="00B153B8">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755554" w:rsidRDefault="00755554" w:rsidP="00755554">
      <w:pPr>
        <w:pStyle w:val="ItemList"/>
        <w:numPr>
          <w:ilvl w:val="0"/>
          <w:numId w:val="1"/>
        </w:numPr>
        <w:spacing w:before="240"/>
        <w:ind w:left="720" w:hanging="720"/>
      </w:pPr>
      <w:r>
        <w:t xml:space="preserve">What is the reasonable and necessary amount, if any, for assessment and taxes other than </w:t>
      </w:r>
      <w:r w:rsidR="006220C0">
        <w:t>federal income taxes?</w:t>
      </w:r>
      <w:r w:rsidR="006220C0" w:rsidRPr="002D7BD1">
        <w:rPr>
          <w:rStyle w:val="FootnoteReference"/>
          <w:position w:val="0"/>
          <w:sz w:val="24"/>
          <w:szCs w:val="24"/>
          <w:vertAlign w:val="superscript"/>
        </w:rPr>
        <w:footnoteReference w:id="23"/>
      </w:r>
    </w:p>
    <w:p w:rsidR="00755554" w:rsidRDefault="00755554" w:rsidP="00755554">
      <w:pPr>
        <w:pStyle w:val="ItemList"/>
        <w:numPr>
          <w:ilvl w:val="0"/>
          <w:numId w:val="1"/>
        </w:numPr>
        <w:spacing w:before="240"/>
        <w:ind w:left="720" w:hanging="720"/>
      </w:pPr>
      <w:r>
        <w:lastRenderedPageBreak/>
        <w:t>What is the reasonable and necessary amount for the utility</w:t>
      </w:r>
      <w:r w:rsidR="004A53B0">
        <w:t>'s federal income tax expense?</w:t>
      </w:r>
      <w:r w:rsidR="006220C0" w:rsidRPr="002D7BD1">
        <w:rPr>
          <w:rStyle w:val="FootnoteReference"/>
          <w:position w:val="0"/>
          <w:sz w:val="24"/>
          <w:szCs w:val="24"/>
          <w:vertAlign w:val="superscript"/>
        </w:rPr>
        <w:footnoteReference w:id="24"/>
      </w:r>
    </w:p>
    <w:p w:rsidR="004A53B0" w:rsidRDefault="004A53B0" w:rsidP="004A53B0">
      <w:pPr>
        <w:pStyle w:val="ItemList"/>
        <w:numPr>
          <w:ilvl w:val="0"/>
          <w:numId w:val="13"/>
        </w:numPr>
        <w:spacing w:before="240"/>
      </w:pPr>
      <w:r>
        <w:t>Is the utility a member of an affiliated group that is eligible to file a consolidate</w:t>
      </w:r>
      <w:r w:rsidR="006220C0">
        <w:t>d income tax return?</w:t>
      </w:r>
      <w:r w:rsidR="006220C0" w:rsidRPr="002D7BD1">
        <w:rPr>
          <w:rStyle w:val="FootnoteReference"/>
          <w:position w:val="0"/>
          <w:sz w:val="24"/>
          <w:szCs w:val="24"/>
          <w:vertAlign w:val="superscript"/>
        </w:rPr>
        <w:footnoteReference w:id="25"/>
      </w:r>
    </w:p>
    <w:p w:rsidR="004A53B0" w:rsidRDefault="004A53B0" w:rsidP="004A53B0">
      <w:pPr>
        <w:pStyle w:val="ItemList"/>
        <w:numPr>
          <w:ilvl w:val="0"/>
          <w:numId w:val="13"/>
        </w:numPr>
        <w:spacing w:before="240"/>
      </w:pPr>
      <w:r>
        <w:t>If so, have income taxes been computed as though a consolidated return had been filed and the utility realized its fair share of the savings resulting from the consolidated return?</w:t>
      </w:r>
      <w:r w:rsidR="006220C0" w:rsidRPr="002D7BD1">
        <w:rPr>
          <w:rStyle w:val="FootnoteReference"/>
          <w:position w:val="0"/>
          <w:sz w:val="24"/>
          <w:szCs w:val="24"/>
          <w:vertAlign w:val="superscript"/>
        </w:rPr>
        <w:footnoteReference w:id="26"/>
      </w:r>
    </w:p>
    <w:p w:rsidR="004A53B0" w:rsidRDefault="004A53B0" w:rsidP="004A53B0">
      <w:pPr>
        <w:pStyle w:val="ItemList"/>
        <w:numPr>
          <w:ilvl w:val="0"/>
          <w:numId w:val="13"/>
        </w:numPr>
        <w:spacing w:before="240"/>
      </w:pPr>
      <w:r>
        <w:t>If not, has the utility demonstrated that it was reasonable not to consolidate returns?</w:t>
      </w:r>
      <w:r w:rsidR="005F07DC" w:rsidRPr="002D7BD1">
        <w:rPr>
          <w:rStyle w:val="FootnoteReference"/>
          <w:position w:val="0"/>
          <w:sz w:val="24"/>
          <w:szCs w:val="24"/>
          <w:vertAlign w:val="superscript"/>
        </w:rPr>
        <w:footnoteReference w:id="27"/>
      </w:r>
    </w:p>
    <w:p w:rsidR="00B153B8" w:rsidRDefault="00B153B8" w:rsidP="00B153B8">
      <w:pPr>
        <w:pStyle w:val="ItemList"/>
        <w:numPr>
          <w:ilvl w:val="0"/>
          <w:numId w:val="1"/>
        </w:numPr>
        <w:spacing w:before="240"/>
        <w:ind w:left="720" w:hanging="720"/>
      </w:pPr>
      <w:r>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CF03EC" w:rsidRDefault="00CF03EC" w:rsidP="00B153B8">
      <w:pPr>
        <w:pStyle w:val="ItemList"/>
        <w:numPr>
          <w:ilvl w:val="0"/>
          <w:numId w:val="1"/>
        </w:numPr>
        <w:spacing w:before="240"/>
        <w:ind w:left="720" w:hanging="720"/>
      </w:pPr>
      <w:r>
        <w:t xml:space="preserve">What is the reasonable and necessary amount for municipal franchise fees, if any, to be included in rates? </w:t>
      </w:r>
    </w:p>
    <w:p w:rsidR="00B153B8" w:rsidRDefault="00B153B8" w:rsidP="00B153B8">
      <w:pPr>
        <w:pStyle w:val="ItemList"/>
        <w:numPr>
          <w:ilvl w:val="0"/>
          <w:numId w:val="1"/>
        </w:numPr>
        <w:spacing w:before="240"/>
        <w:ind w:left="720" w:hanging="720"/>
      </w:pPr>
      <w:r>
        <w:t>What regulatory assets are appropriately included in the utility’s rate base?  If such assets are included in rate base, what is the appropriate treatment of such assets?</w:t>
      </w:r>
    </w:p>
    <w:p w:rsidR="00755554" w:rsidRDefault="00755554" w:rsidP="00755554">
      <w:pPr>
        <w:pStyle w:val="ItemList"/>
        <w:numPr>
          <w:ilvl w:val="0"/>
          <w:numId w:val="1"/>
        </w:numPr>
        <w:spacing w:before="240"/>
        <w:ind w:left="720" w:hanging="720"/>
      </w:pPr>
      <w:r>
        <w:t>Is the utility seeking rates for both w</w:t>
      </w:r>
      <w:r w:rsidR="00B153B8">
        <w:t xml:space="preserve">ater and sewer service?  </w:t>
      </w:r>
      <w:r w:rsidR="00B153B8" w:rsidRPr="00F74966">
        <w:t>If so, is each component of cost of service (each allowable expense and all return on invested capital) properly allocated between water and sewer services?</w:t>
      </w:r>
    </w:p>
    <w:p w:rsidR="00755554" w:rsidRDefault="00755554" w:rsidP="00755554">
      <w:pPr>
        <w:pStyle w:val="ItemList"/>
        <w:numPr>
          <w:ilvl w:val="0"/>
          <w:numId w:val="1"/>
        </w:numPr>
        <w:spacing w:before="240"/>
        <w:ind w:left="720" w:hanging="720"/>
      </w:pPr>
      <w:r>
        <w:lastRenderedPageBreak/>
        <w:t>What is the appropriate allocation of</w:t>
      </w:r>
      <w:r w:rsidR="00E24DB5">
        <w:t xml:space="preserve"> costs and revenues </w:t>
      </w:r>
      <w:r>
        <w:t xml:space="preserve">among </w:t>
      </w:r>
      <w:r w:rsidR="00E24DB5">
        <w:t xml:space="preserve">the utility’s </w:t>
      </w:r>
      <w:r>
        <w:t>rate classes?</w:t>
      </w:r>
    </w:p>
    <w:p w:rsidR="00755554" w:rsidRDefault="00755554" w:rsidP="00755554">
      <w:pPr>
        <w:pStyle w:val="ItemList"/>
        <w:numPr>
          <w:ilvl w:val="0"/>
          <w:numId w:val="1"/>
        </w:numPr>
        <w:spacing w:before="240"/>
        <w:ind w:left="720" w:hanging="720"/>
      </w:pPr>
      <w:r>
        <w:t>What is the appropriate rate design for each rate class?</w:t>
      </w:r>
      <w:r w:rsidR="006220C0" w:rsidRPr="002D7BD1">
        <w:rPr>
          <w:rStyle w:val="FootnoteReference"/>
          <w:position w:val="0"/>
          <w:sz w:val="24"/>
          <w:szCs w:val="24"/>
          <w:vertAlign w:val="superscript"/>
        </w:rPr>
        <w:footnoteReference w:id="28"/>
      </w:r>
    </w:p>
    <w:p w:rsidR="00BA22C9" w:rsidRDefault="00BA22C9" w:rsidP="00755554">
      <w:pPr>
        <w:pStyle w:val="ItemList"/>
        <w:numPr>
          <w:ilvl w:val="0"/>
          <w:numId w:val="1"/>
        </w:numPr>
        <w:spacing w:before="240"/>
        <w:ind w:left="720" w:hanging="720"/>
      </w:pPr>
      <w:r>
        <w:t xml:space="preserve">Is it reasonable and appropriate for the utility to use the current number of connections as of the date of the application as opposed to </w:t>
      </w:r>
      <w:r w:rsidRPr="00362519">
        <w:t xml:space="preserve">using </w:t>
      </w:r>
      <w:r w:rsidR="00362519" w:rsidRPr="00362519">
        <w:t>test-year-</w:t>
      </w:r>
      <w:r w:rsidRPr="00362519">
        <w:t>end connections</w:t>
      </w:r>
      <w:r>
        <w:t xml:space="preserve"> in designing rates? </w:t>
      </w:r>
    </w:p>
    <w:p w:rsidR="00755554" w:rsidRDefault="006836DB" w:rsidP="00755554">
      <w:pPr>
        <w:pStyle w:val="ItemList"/>
        <w:numPr>
          <w:ilvl w:val="0"/>
          <w:numId w:val="1"/>
        </w:numPr>
        <w:spacing w:before="240"/>
        <w:ind w:left="720" w:hanging="720"/>
      </w:pPr>
      <w:r>
        <w:t>What are the utility’</w:t>
      </w:r>
      <w:r w:rsidR="00755554">
        <w:t>s expenses incurred in this rate proceeding that are just, reasonable, necessar</w:t>
      </w:r>
      <w:r w:rsidR="004A53B0">
        <w:t>y, and in the public interest?</w:t>
      </w:r>
      <w:r w:rsidR="006220C0" w:rsidRPr="006A31B6">
        <w:rPr>
          <w:rStyle w:val="FootnoteReference"/>
          <w:sz w:val="24"/>
          <w:szCs w:val="24"/>
          <w:vertAlign w:val="superscript"/>
        </w:rPr>
        <w:footnoteReference w:id="29"/>
      </w:r>
      <w:r w:rsidR="004A53B0">
        <w:t xml:space="preserve">  </w:t>
      </w:r>
      <w:r w:rsidR="00755554">
        <w:t xml:space="preserve">Does that amount include any anticipated expenses to appeal this docket that are just, reasonable, necessary, and in the public interest? </w:t>
      </w:r>
      <w:r w:rsidR="004A53B0">
        <w:t xml:space="preserve"> </w:t>
      </w:r>
      <w:r w:rsidR="00755554">
        <w:t>Should the utility be able to recover its reasonable and necessary rate-case expenses from ratepayers?</w:t>
      </w:r>
      <w:r w:rsidR="004A53B0">
        <w:t xml:space="preserve"> </w:t>
      </w:r>
      <w:r w:rsidR="00755554">
        <w:t xml:space="preserve"> If so, how should such expenses, if any, be recovered by the utility?</w:t>
      </w:r>
    </w:p>
    <w:p w:rsidR="00E202A4" w:rsidRDefault="00755554" w:rsidP="00E202A4">
      <w:pPr>
        <w:pStyle w:val="ItemList"/>
        <w:numPr>
          <w:ilvl w:val="0"/>
          <w:numId w:val="1"/>
        </w:numPr>
        <w:spacing w:before="240"/>
        <w:ind w:left="720" w:hanging="720"/>
      </w:pPr>
      <w:r>
        <w:t xml:space="preserve">If a refund or surcharge results from this proceeding, how and over what period of </w:t>
      </w:r>
      <w:r w:rsidR="004A53B0">
        <w:t>time</w:t>
      </w:r>
      <w:r>
        <w:t xml:space="preserve"> </w:t>
      </w:r>
      <w:r w:rsidR="006220C0">
        <w:t>should that be made?</w:t>
      </w:r>
      <w:r w:rsidR="006220C0" w:rsidRPr="002D7BD1">
        <w:rPr>
          <w:rStyle w:val="FootnoteReference"/>
          <w:position w:val="0"/>
          <w:sz w:val="24"/>
          <w:szCs w:val="24"/>
          <w:vertAlign w:val="superscript"/>
        </w:rPr>
        <w:footnoteReference w:id="30"/>
      </w:r>
    </w:p>
    <w:p w:rsidR="00755554" w:rsidRDefault="00755554" w:rsidP="00755554">
      <w:pPr>
        <w:pStyle w:val="ItemList"/>
        <w:numPr>
          <w:ilvl w:val="0"/>
          <w:numId w:val="1"/>
        </w:numPr>
        <w:spacing w:before="240"/>
        <w:ind w:left="720" w:hanging="720"/>
      </w:pPr>
      <w:r>
        <w:t xml:space="preserve">Has the utility met the requirements for a request for interim relief in the form of interim rates? </w:t>
      </w:r>
      <w:r w:rsidR="004A53B0">
        <w:t xml:space="preserve"> </w:t>
      </w:r>
      <w:r>
        <w:t>If so, what are the appropriate</w:t>
      </w:r>
      <w:r w:rsidR="006220C0">
        <w:t xml:space="preserve"> levels of the interim rates?</w:t>
      </w:r>
      <w:r w:rsidR="006220C0" w:rsidRPr="002D7BD1">
        <w:rPr>
          <w:rStyle w:val="FootnoteReference"/>
          <w:position w:val="0"/>
          <w:sz w:val="24"/>
          <w:szCs w:val="24"/>
          <w:vertAlign w:val="superscript"/>
        </w:rPr>
        <w:footnoteReference w:id="31"/>
      </w:r>
    </w:p>
    <w:p w:rsidR="00755554" w:rsidRDefault="00755554" w:rsidP="00755554">
      <w:pPr>
        <w:pStyle w:val="ItemList"/>
        <w:numPr>
          <w:ilvl w:val="0"/>
          <w:numId w:val="1"/>
        </w:numPr>
        <w:spacing w:before="240"/>
        <w:ind w:left="720" w:hanging="720"/>
      </w:pPr>
      <w:r>
        <w:t xml:space="preserve">What is the appropriate effective date of the rates fixed by the Commission in </w:t>
      </w:r>
      <w:r w:rsidR="004A53B0">
        <w:t>this</w:t>
      </w:r>
      <w:r>
        <w:t xml:space="preserve"> </w:t>
      </w:r>
      <w:r w:rsidR="006220C0">
        <w:t>proceeding?</w:t>
      </w:r>
      <w:r w:rsidR="006220C0" w:rsidRPr="002D7BD1">
        <w:rPr>
          <w:rStyle w:val="FootnoteReference"/>
          <w:position w:val="0"/>
          <w:sz w:val="24"/>
          <w:szCs w:val="24"/>
          <w:vertAlign w:val="superscript"/>
        </w:rPr>
        <w:footnoteReference w:id="32"/>
      </w:r>
    </w:p>
    <w:p w:rsidR="00275B22" w:rsidRPr="003C35B5" w:rsidRDefault="00275B22" w:rsidP="00E01778">
      <w:r w:rsidRPr="003C35B5">
        <w:tab/>
        <w:t>This list of issues is not intended to be exhaustive.  The parties and the ALJ are free to raise and address any issues relevant in this docket that they deem necessary, subject to any</w:t>
      </w:r>
      <w:r w:rsidR="00E36833">
        <w:t xml:space="preserve"> </w:t>
      </w:r>
      <w:r w:rsidR="00E36833">
        <w:lastRenderedPageBreak/>
        <w:t>limitations imposed by the ALJ</w:t>
      </w:r>
      <w:r w:rsidRPr="003C35B5">
        <w:t xml:space="preserve">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6220C0">
        <w:t>Tex</w:t>
      </w:r>
      <w:r w:rsidR="00346DFD">
        <w:t>as Gov’</w:t>
      </w:r>
      <w:r w:rsidR="00E36833">
        <w:t>t Code Ann</w:t>
      </w:r>
      <w:r w:rsidR="00346DFD">
        <w:t>.</w:t>
      </w:r>
      <w:r w:rsidR="00E36833">
        <w:t xml:space="preserve"> § </w:t>
      </w:r>
      <w:r w:rsidRPr="003C35B5">
        <w:t>2003.049(e).</w:t>
      </w:r>
    </w:p>
    <w:p w:rsidR="006220C0" w:rsidRPr="003C35B5" w:rsidRDefault="006220C0">
      <w:pPr>
        <w:spacing w:before="0"/>
      </w:pPr>
    </w:p>
    <w:p w:rsidR="00275B22" w:rsidRDefault="009F1850">
      <w:pPr>
        <w:spacing w:before="0"/>
        <w:jc w:val="center"/>
        <w:rPr>
          <w:b/>
        </w:rPr>
      </w:pPr>
      <w:r w:rsidRPr="003C35B5">
        <w:rPr>
          <w:b/>
        </w:rPr>
        <w:t>IV</w:t>
      </w:r>
      <w:r w:rsidR="00275B22" w:rsidRPr="003C35B5">
        <w:rPr>
          <w:b/>
        </w:rPr>
        <w:t xml:space="preserve">.  </w:t>
      </w:r>
      <w:r w:rsidR="007F3C40" w:rsidRPr="003C35B5">
        <w:rPr>
          <w:b/>
        </w:rPr>
        <w:t>Effect of Preliminary Order</w:t>
      </w:r>
    </w:p>
    <w:p w:rsidR="002133F3" w:rsidRDefault="002133F3" w:rsidP="008E4174">
      <w:pPr>
        <w:spacing w:before="0"/>
      </w:pPr>
      <w:r w:rsidRPr="003C35B5">
        <w:tab/>
      </w:r>
      <w:r w:rsidR="00E24DB5" w:rsidRPr="00991C89">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w:t>
      </w:r>
      <w:r w:rsidR="00E24DB5">
        <w:t>or rehearing or reconsideration.</w:t>
      </w:r>
    </w:p>
    <w:p w:rsidR="00E24DB5" w:rsidRDefault="00E24DB5" w:rsidP="008E4174">
      <w:pPr>
        <w:spacing w:before="0"/>
      </w:pPr>
    </w:p>
    <w:p w:rsidR="00E24DB5" w:rsidRPr="003C35B5" w:rsidRDefault="00E24DB5" w:rsidP="008E4174">
      <w:pPr>
        <w:spacing w:before="0"/>
      </w:pPr>
    </w:p>
    <w:p w:rsidR="008E4174" w:rsidRDefault="008E4174">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39378D">
        <w:rPr>
          <w:b/>
        </w:rPr>
        <w:t>October</w:t>
      </w:r>
      <w:r w:rsidR="0093434E">
        <w:rPr>
          <w:b/>
        </w:rPr>
        <w:t xml:space="preserve"> 2016.</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3C35B5" w:rsidRDefault="002B0DD0">
      <w:pPr>
        <w:spacing w:before="0" w:line="240" w:lineRule="auto"/>
        <w:rPr>
          <w:b/>
        </w:rPr>
      </w:pPr>
    </w:p>
    <w:p w:rsidR="002B0DD0" w:rsidRPr="003C35B5" w:rsidRDefault="002B0DD0" w:rsidP="003A6A8D">
      <w:pPr>
        <w:rPr>
          <w:b/>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651EE1">
        <w:rPr>
          <w:noProof/>
          <w:sz w:val="16"/>
        </w:rPr>
        <w:t>q:\cadm\orders\prelim\46000\46245 dpo.docx</w:t>
      </w:r>
      <w:r w:rsidRPr="003C35B5">
        <w:rPr>
          <w:sz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216" w:rsidRDefault="00A71216">
      <w:r>
        <w:separator/>
      </w:r>
    </w:p>
  </w:endnote>
  <w:endnote w:type="continuationSeparator" w:id="0">
    <w:p w:rsidR="00A71216" w:rsidRDefault="00A7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216" w:rsidRDefault="00A71216">
      <w:r>
        <w:separator/>
      </w:r>
    </w:p>
  </w:footnote>
  <w:footnote w:type="continuationSeparator" w:id="0">
    <w:p w:rsidR="00A71216" w:rsidRDefault="00A71216">
      <w:r>
        <w:continuationSeparator/>
      </w:r>
    </w:p>
  </w:footnote>
  <w:footnote w:id="1">
    <w:p w:rsidR="00237664" w:rsidRPr="00F90462" w:rsidRDefault="00237664" w:rsidP="006220C0">
      <w:pPr>
        <w:pStyle w:val="FootnoteText"/>
      </w:pPr>
      <w:r w:rsidRPr="002D7BD1">
        <w:rPr>
          <w:rStyle w:val="FootnoteReference"/>
          <w:position w:val="0"/>
          <w:sz w:val="20"/>
          <w:vertAlign w:val="superscript"/>
        </w:rPr>
        <w:footnoteRef/>
      </w:r>
      <w:r w:rsidR="001946D4">
        <w:t xml:space="preserve"> </w:t>
      </w:r>
      <w:r w:rsidR="00F65EF4">
        <w:t xml:space="preserve"> </w:t>
      </w:r>
      <w:r w:rsidRPr="00F90462">
        <w:t>Commission Staff's Recommendation on Administrative Completeness</w:t>
      </w:r>
      <w:r w:rsidR="002A12E2">
        <w:t xml:space="preserve"> of the Application and Notice</w:t>
      </w:r>
      <w:r w:rsidRPr="00F90462">
        <w:t xml:space="preserve"> </w:t>
      </w:r>
      <w:r w:rsidR="009E7448">
        <w:t xml:space="preserve">at </w:t>
      </w:r>
      <w:r w:rsidR="003B3F58">
        <w:t>1-</w:t>
      </w:r>
      <w:r w:rsidR="002A12E2">
        <w:t xml:space="preserve">2 </w:t>
      </w:r>
      <w:r w:rsidR="0066752F" w:rsidRPr="00F90462">
        <w:t>(</w:t>
      </w:r>
      <w:r w:rsidR="002A12E2">
        <w:t>Sept. 1, 2016).</w:t>
      </w:r>
    </w:p>
  </w:footnote>
  <w:footnote w:id="2">
    <w:p w:rsidR="00E114A8" w:rsidRDefault="00E114A8" w:rsidP="00E114A8">
      <w:pPr>
        <w:pStyle w:val="FootnoteText"/>
      </w:pPr>
      <w:r w:rsidRPr="002D7BD1">
        <w:rPr>
          <w:rStyle w:val="FootnoteReference"/>
          <w:position w:val="0"/>
          <w:sz w:val="20"/>
          <w:vertAlign w:val="superscript"/>
        </w:rPr>
        <w:footnoteRef/>
      </w:r>
      <w:r w:rsidR="002358C1" w:rsidRPr="002D7BD1">
        <w:rPr>
          <w:vertAlign w:val="superscript"/>
        </w:rPr>
        <w:t xml:space="preserve"> </w:t>
      </w:r>
      <w:r w:rsidR="002358C1">
        <w:t xml:space="preserve"> Application at </w:t>
      </w:r>
      <w:r w:rsidR="003B3F58">
        <w:t>10</w:t>
      </w:r>
      <w:r w:rsidR="002358C1">
        <w:t xml:space="preserve"> (</w:t>
      </w:r>
      <w:r w:rsidR="006E336E">
        <w:t>Aug. 1</w:t>
      </w:r>
      <w:r w:rsidR="002358C1">
        <w:t>, 2016).</w:t>
      </w:r>
    </w:p>
  </w:footnote>
  <w:footnote w:id="3">
    <w:p w:rsidR="005D35B7" w:rsidRDefault="005D35B7" w:rsidP="005D35B7">
      <w:pPr>
        <w:pStyle w:val="FootnoteText"/>
      </w:pPr>
      <w:r>
        <w:rPr>
          <w:rStyle w:val="FootnoteReference"/>
        </w:rPr>
        <w:footnoteRef/>
      </w:r>
      <w:r>
        <w:t xml:space="preserve"> </w:t>
      </w:r>
      <w:r w:rsidRPr="009E7448">
        <w:rPr>
          <w:i/>
        </w:rPr>
        <w:t>Id</w:t>
      </w:r>
      <w:r w:rsidR="003B3F58">
        <w:t>.</w:t>
      </w:r>
      <w:r>
        <w:t xml:space="preserve"> </w:t>
      </w:r>
    </w:p>
  </w:footnote>
  <w:footnote w:id="4">
    <w:p w:rsidR="003B3F58" w:rsidRDefault="003B3F58">
      <w:pPr>
        <w:pStyle w:val="FootnoteText"/>
      </w:pPr>
      <w:r>
        <w:rPr>
          <w:rStyle w:val="FootnoteReference"/>
        </w:rPr>
        <w:footnoteRef/>
      </w:r>
      <w:r>
        <w:t xml:space="preserve"> </w:t>
      </w:r>
      <w:r w:rsidRPr="00F90462">
        <w:t>Commission Staff's Recommendation on Administrative Completeness</w:t>
      </w:r>
      <w:r>
        <w:t xml:space="preserve"> of the Application and Notice</w:t>
      </w:r>
      <w:r w:rsidRPr="00F90462">
        <w:t xml:space="preserve"> </w:t>
      </w:r>
      <w:r>
        <w:t>at 4.</w:t>
      </w:r>
    </w:p>
  </w:footnote>
  <w:footnote w:id="5">
    <w:p w:rsidR="003243A0" w:rsidRPr="00F90462" w:rsidRDefault="003243A0" w:rsidP="006220C0">
      <w:pPr>
        <w:pStyle w:val="FootnoteText"/>
        <w:rPr>
          <w:lang w:val="pt-BR"/>
        </w:rPr>
      </w:pPr>
      <w:r w:rsidRPr="002D7BD1">
        <w:rPr>
          <w:rStyle w:val="FootnoteReference"/>
          <w:position w:val="0"/>
          <w:sz w:val="20"/>
          <w:vertAlign w:val="superscript"/>
        </w:rPr>
        <w:footnoteRef/>
      </w:r>
      <w:r w:rsidRPr="001946D4">
        <w:rPr>
          <w:lang w:val="pt-BR"/>
        </w:rPr>
        <w:t xml:space="preserve"> </w:t>
      </w:r>
      <w:r w:rsidR="001946D4" w:rsidRPr="001946D4">
        <w:rPr>
          <w:lang w:val="pt-BR"/>
        </w:rPr>
        <w:t xml:space="preserve"> </w:t>
      </w:r>
      <w:r w:rsidR="00E57C4D" w:rsidRPr="00696C14">
        <w:t>Tex. Gov’t Code Ann.</w:t>
      </w:r>
      <w:r w:rsidR="00E57C4D">
        <w:t xml:space="preserve"> § 2003.049(e) (West 2016</w:t>
      </w:r>
      <w:r w:rsidR="00E57C4D" w:rsidRPr="00696C14">
        <w:t>).</w:t>
      </w:r>
      <w:r w:rsidR="00E57C4D" w:rsidRPr="002133F3">
        <w:rPr>
          <w:lang w:val="pt-BR"/>
        </w:rPr>
        <w:t xml:space="preserve">  </w:t>
      </w:r>
    </w:p>
  </w:footnote>
  <w:footnote w:id="6">
    <w:p w:rsidR="001E48DE" w:rsidRPr="00F90462" w:rsidRDefault="001E48DE" w:rsidP="006220C0">
      <w:pPr>
        <w:pStyle w:val="FootnoteText"/>
      </w:pPr>
      <w:r w:rsidRPr="002D7BD1">
        <w:rPr>
          <w:rStyle w:val="FootnoteReference"/>
          <w:position w:val="0"/>
          <w:sz w:val="20"/>
          <w:vertAlign w:val="superscript"/>
        </w:rPr>
        <w:footnoteRef/>
      </w:r>
      <w:r w:rsidR="001946D4" w:rsidRPr="002D7BD1">
        <w:t xml:space="preserve"> </w:t>
      </w:r>
      <w:r w:rsidRPr="00F90462">
        <w:t xml:space="preserve"> </w:t>
      </w:r>
      <w:r w:rsidR="005F07DC" w:rsidRPr="00F90462">
        <w:t>TWC</w:t>
      </w:r>
      <w:r w:rsidRPr="00F90462">
        <w:t> § 13.182</w:t>
      </w:r>
      <w:r w:rsidR="00CF03EC">
        <w:t>, 13.1871(o); 16 TAC § 24.28(d).</w:t>
      </w:r>
    </w:p>
  </w:footnote>
  <w:footnote w:id="7">
    <w:p w:rsidR="001E48DE" w:rsidRPr="00F90462" w:rsidRDefault="001E48DE" w:rsidP="006220C0">
      <w:pPr>
        <w:pStyle w:val="FootnoteText"/>
      </w:pPr>
      <w:r w:rsidRPr="002D7BD1">
        <w:rPr>
          <w:rStyle w:val="FootnoteReference"/>
          <w:position w:val="0"/>
          <w:sz w:val="20"/>
          <w:vertAlign w:val="superscript"/>
        </w:rPr>
        <w:footnoteRef/>
      </w:r>
      <w:r w:rsidRPr="00F90462">
        <w:t xml:space="preserve"> </w:t>
      </w:r>
      <w:r w:rsidR="001946D4">
        <w:t xml:space="preserve"> </w:t>
      </w:r>
      <w:r w:rsidRPr="00F90462">
        <w:t>TWC § 13.183(a)</w:t>
      </w:r>
      <w:r w:rsidR="00CF03EC">
        <w:t>(1)-(2)</w:t>
      </w:r>
      <w:r w:rsidRPr="00F90462">
        <w:t xml:space="preserve">; </w:t>
      </w:r>
      <w:r w:rsidR="006A6AB4">
        <w:t>16 TAC</w:t>
      </w:r>
      <w:r w:rsidR="005F07DC" w:rsidRPr="00F90462">
        <w:t xml:space="preserve"> </w:t>
      </w:r>
      <w:r w:rsidRPr="00F90462">
        <w:t>§ 24.32(a)</w:t>
      </w:r>
      <w:r w:rsidR="006A6AB4">
        <w:t>.</w:t>
      </w:r>
    </w:p>
  </w:footnote>
  <w:footnote w:id="8">
    <w:p w:rsidR="001E48DE" w:rsidRPr="00F90462" w:rsidRDefault="001E48DE" w:rsidP="006220C0">
      <w:pPr>
        <w:pStyle w:val="FootnoteText"/>
      </w:pPr>
      <w:r w:rsidRPr="002D7BD1">
        <w:rPr>
          <w:rStyle w:val="FootnoteReference"/>
          <w:position w:val="0"/>
          <w:sz w:val="20"/>
          <w:vertAlign w:val="superscript"/>
        </w:rPr>
        <w:footnoteRef/>
      </w:r>
      <w:r w:rsidRPr="00F90462">
        <w:t xml:space="preserve"> </w:t>
      </w:r>
      <w:r w:rsidR="001946D4">
        <w:t xml:space="preserve"> </w:t>
      </w:r>
      <w:r w:rsidRPr="00F90462">
        <w:t>16 TAC § 24.31.</w:t>
      </w:r>
    </w:p>
  </w:footnote>
  <w:footnote w:id="9">
    <w:p w:rsidR="001E48DE" w:rsidRPr="00F90462" w:rsidRDefault="001E48DE" w:rsidP="006220C0">
      <w:pPr>
        <w:pStyle w:val="FootnoteText"/>
      </w:pPr>
      <w:r w:rsidRPr="002D7BD1">
        <w:rPr>
          <w:rStyle w:val="FootnoteReference"/>
          <w:position w:val="0"/>
          <w:sz w:val="20"/>
          <w:vertAlign w:val="superscript"/>
        </w:rPr>
        <w:footnoteRef/>
      </w:r>
      <w:r w:rsidRPr="002D7BD1">
        <w:t xml:space="preserve"> </w:t>
      </w:r>
      <w:r w:rsidR="001946D4">
        <w:t xml:space="preserve"> </w:t>
      </w:r>
      <w:r w:rsidRPr="00F90462">
        <w:t>TWC § 13.185(d)(1); 16 TAC § 24.31(b), (c)(5).</w:t>
      </w:r>
    </w:p>
  </w:footnote>
  <w:footnote w:id="10">
    <w:p w:rsidR="006220C0" w:rsidRPr="00F90462" w:rsidRDefault="006220C0" w:rsidP="006220C0">
      <w:pPr>
        <w:pStyle w:val="FootnoteText"/>
      </w:pPr>
      <w:r w:rsidRPr="002D7BD1">
        <w:rPr>
          <w:rStyle w:val="FootnoteReference"/>
          <w:position w:val="0"/>
          <w:sz w:val="20"/>
          <w:vertAlign w:val="superscript"/>
        </w:rPr>
        <w:footnoteRef/>
      </w:r>
      <w:r w:rsidRPr="002D7BD1">
        <w:t xml:space="preserve"> </w:t>
      </w:r>
      <w:r w:rsidR="001946D4">
        <w:t xml:space="preserve"> </w:t>
      </w:r>
      <w:r w:rsidRPr="00F90462">
        <w:t xml:space="preserve">16 TAC </w:t>
      </w:r>
      <w:r w:rsidRPr="00F90462">
        <w:rPr>
          <w:bCs/>
        </w:rPr>
        <w:t>§ 24.31(c)(2).</w:t>
      </w:r>
    </w:p>
  </w:footnote>
  <w:footnote w:id="11">
    <w:p w:rsidR="006220C0" w:rsidRPr="00F90462" w:rsidRDefault="006220C0" w:rsidP="00A73580">
      <w:pPr>
        <w:pStyle w:val="ItemList"/>
        <w:spacing w:before="240" w:line="240" w:lineRule="auto"/>
        <w:ind w:left="0" w:firstLine="720"/>
        <w:contextualSpacing/>
        <w:rPr>
          <w:sz w:val="20"/>
        </w:rPr>
      </w:pPr>
      <w:r w:rsidRPr="002D7BD1">
        <w:rPr>
          <w:rStyle w:val="FootnoteReference"/>
          <w:position w:val="0"/>
          <w:sz w:val="20"/>
          <w:vertAlign w:val="superscript"/>
        </w:rPr>
        <w:footnoteRef/>
      </w:r>
      <w:r w:rsidR="00F65EF4">
        <w:rPr>
          <w:sz w:val="20"/>
        </w:rPr>
        <w:t xml:space="preserve"> </w:t>
      </w:r>
      <w:r w:rsidRPr="00F90462">
        <w:rPr>
          <w:sz w:val="20"/>
        </w:rPr>
        <w:t>TWC § 13.185(b)</w:t>
      </w:r>
      <w:r w:rsidR="005F07DC" w:rsidRPr="00F90462">
        <w:rPr>
          <w:sz w:val="20"/>
        </w:rPr>
        <w:t xml:space="preserve">; </w:t>
      </w:r>
      <w:r w:rsidRPr="00F90462">
        <w:rPr>
          <w:sz w:val="20"/>
        </w:rPr>
        <w:t>16 TAC § 24.31(c)(2)(A)-(B).</w:t>
      </w:r>
    </w:p>
  </w:footnote>
  <w:footnote w:id="12">
    <w:p w:rsidR="006220C0" w:rsidRPr="00F90462" w:rsidRDefault="006220C0" w:rsidP="00A73580">
      <w:pPr>
        <w:pStyle w:val="FootnoteText"/>
        <w:spacing w:line="240" w:lineRule="auto"/>
        <w:contextualSpacing/>
      </w:pPr>
      <w:r w:rsidRPr="002D7BD1">
        <w:rPr>
          <w:rStyle w:val="FootnoteReference"/>
          <w:position w:val="0"/>
          <w:sz w:val="20"/>
          <w:vertAlign w:val="superscript"/>
        </w:rPr>
        <w:footnoteRef/>
      </w:r>
      <w:r w:rsidR="00F65EF4" w:rsidRPr="002D7BD1">
        <w:t xml:space="preserve"> </w:t>
      </w:r>
      <w:r w:rsidR="001946D4">
        <w:t xml:space="preserve"> </w:t>
      </w:r>
      <w:r w:rsidRPr="00F90462">
        <w:t>TWC § 13.185(b); 16 TAC § 24.31(c)(4).</w:t>
      </w:r>
    </w:p>
  </w:footnote>
  <w:footnote w:id="13">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24.31(c)(2)(C).</w:t>
      </w:r>
    </w:p>
  </w:footnote>
  <w:footnote w:id="14">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13.185(i).</w:t>
      </w:r>
    </w:p>
  </w:footnote>
  <w:footnote w:id="15">
    <w:p w:rsidR="006220C0" w:rsidRPr="00F90462" w:rsidRDefault="006220C0">
      <w:pPr>
        <w:pStyle w:val="FootnoteText"/>
      </w:pPr>
      <w:r w:rsidRPr="002D7BD1">
        <w:rPr>
          <w:rStyle w:val="FootnoteReference"/>
          <w:position w:val="0"/>
          <w:sz w:val="20"/>
          <w:vertAlign w:val="superscript"/>
        </w:rPr>
        <w:footnoteRef/>
      </w:r>
      <w:r w:rsidR="00F65EF4" w:rsidRPr="002D7BD1">
        <w:t xml:space="preserve"> </w:t>
      </w:r>
      <w:r w:rsidR="001946D4">
        <w:t xml:space="preserve"> </w:t>
      </w:r>
      <w:r w:rsidRPr="00F90462">
        <w:t>TWC § 13.185(j), 16 TAC § 24.31(b)(1)(B).</w:t>
      </w:r>
    </w:p>
  </w:footnote>
  <w:footnote w:id="16">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 xml:space="preserve">TWC § 13.185(j), 16 TAC § 24.31(c)(2)(B)(v).  </w:t>
      </w:r>
    </w:p>
  </w:footnote>
  <w:footnote w:id="17">
    <w:p w:rsidR="006220C0" w:rsidRPr="00F90462" w:rsidRDefault="006220C0">
      <w:pPr>
        <w:pStyle w:val="FootnoteText"/>
      </w:pPr>
      <w:r w:rsidRPr="002D7BD1">
        <w:rPr>
          <w:rStyle w:val="FootnoteReference"/>
          <w:position w:val="0"/>
          <w:sz w:val="20"/>
          <w:vertAlign w:val="superscript"/>
        </w:rPr>
        <w:footnoteRef/>
      </w:r>
      <w:r w:rsidR="00F65EF4" w:rsidRPr="002D7BD1">
        <w:t xml:space="preserve"> </w:t>
      </w:r>
      <w:r w:rsidR="001946D4" w:rsidRPr="002D7BD1">
        <w:t xml:space="preserve"> </w:t>
      </w:r>
      <w:r w:rsidRPr="00F90462">
        <w:t>16 TAC § 24.31(b)(1)(A).</w:t>
      </w:r>
    </w:p>
  </w:footnote>
  <w:footnote w:id="18">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00E36833">
        <w:t>16 TAC § 24.31</w:t>
      </w:r>
      <w:r w:rsidRPr="00F90462">
        <w:t>(b)(1)(F).</w:t>
      </w:r>
    </w:p>
  </w:footnote>
  <w:footnote w:id="19">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13.185(h)(</w:t>
      </w:r>
      <w:r w:rsidR="005F07DC" w:rsidRPr="00F90462">
        <w:t xml:space="preserve">3); </w:t>
      </w:r>
      <w:r w:rsidRPr="00F90462">
        <w:t>16 TAC § 24.31(b)(2)(I).</w:t>
      </w:r>
    </w:p>
  </w:footnote>
  <w:footnote w:id="20">
    <w:p w:rsidR="00B153B8" w:rsidRPr="00F90462" w:rsidRDefault="00B153B8" w:rsidP="00B153B8">
      <w:pPr>
        <w:pStyle w:val="FootnoteText"/>
      </w:pPr>
      <w:r w:rsidRPr="002D7BD1">
        <w:rPr>
          <w:rStyle w:val="FootnoteReference"/>
          <w:position w:val="0"/>
          <w:sz w:val="20"/>
          <w:vertAlign w:val="superscript"/>
        </w:rPr>
        <w:footnoteRef/>
      </w:r>
      <w:r>
        <w:t xml:space="preserve">  </w:t>
      </w:r>
      <w:r w:rsidRPr="00F90462">
        <w:t>TWC § 13.185(e).</w:t>
      </w:r>
    </w:p>
  </w:footnote>
  <w:footnote w:id="21">
    <w:p w:rsidR="00B153B8" w:rsidRPr="00F90462" w:rsidRDefault="00B153B8" w:rsidP="00B153B8">
      <w:pPr>
        <w:pStyle w:val="FootnoteText"/>
      </w:pPr>
      <w:r w:rsidRPr="002D7BD1">
        <w:rPr>
          <w:rStyle w:val="FootnoteReference"/>
          <w:position w:val="0"/>
          <w:sz w:val="20"/>
          <w:vertAlign w:val="superscript"/>
        </w:rPr>
        <w:footnoteRef/>
      </w:r>
      <w:r w:rsidRPr="00FC4258">
        <w:rPr>
          <w:i/>
        </w:rPr>
        <w:t xml:space="preserve">  Id.</w:t>
      </w:r>
    </w:p>
  </w:footnote>
  <w:footnote w:id="22">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w:t>
      </w:r>
      <w:r w:rsidR="005F07DC" w:rsidRPr="00F90462">
        <w:t>13.185(j);</w:t>
      </w:r>
      <w:r w:rsidRPr="00F90462">
        <w:t xml:space="preserve"> 16 TAC § 24.31(b)(1)(B).</w:t>
      </w:r>
    </w:p>
  </w:footnote>
  <w:footnote w:id="23">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24.31(b)(1)(C).</w:t>
      </w:r>
    </w:p>
  </w:footnote>
  <w:footnote w:id="24">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24.31(b)(1)(D)</w:t>
      </w:r>
      <w:r w:rsidR="005F07DC" w:rsidRPr="00F90462">
        <w:t>;</w:t>
      </w:r>
      <w:r w:rsidRPr="00F90462">
        <w:t xml:space="preserve"> TWC § 13.185(f).</w:t>
      </w:r>
    </w:p>
  </w:footnote>
  <w:footnote w:id="25">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13.185(f).</w:t>
      </w:r>
    </w:p>
  </w:footnote>
  <w:footnote w:id="26">
    <w:p w:rsidR="006220C0" w:rsidRPr="00F90462" w:rsidRDefault="006220C0">
      <w:pPr>
        <w:pStyle w:val="FootnoteText"/>
        <w:rPr>
          <w:i/>
        </w:rPr>
      </w:pPr>
      <w:r w:rsidRPr="002D7BD1">
        <w:rPr>
          <w:rStyle w:val="FootnoteReference"/>
          <w:position w:val="0"/>
          <w:sz w:val="20"/>
          <w:vertAlign w:val="superscript"/>
        </w:rPr>
        <w:footnoteRef/>
      </w:r>
      <w:r w:rsidR="00F65EF4">
        <w:rPr>
          <w:i/>
        </w:rPr>
        <w:t xml:space="preserve"> </w:t>
      </w:r>
      <w:r w:rsidR="001946D4">
        <w:rPr>
          <w:i/>
        </w:rPr>
        <w:t xml:space="preserve"> </w:t>
      </w:r>
      <w:r w:rsidRPr="00F90462">
        <w:rPr>
          <w:i/>
        </w:rPr>
        <w:t>Id.</w:t>
      </w:r>
    </w:p>
  </w:footnote>
  <w:footnote w:id="27">
    <w:p w:rsidR="005F07DC" w:rsidRPr="00F90462" w:rsidRDefault="005F07DC">
      <w:pPr>
        <w:pStyle w:val="FootnoteText"/>
        <w:rPr>
          <w:i/>
        </w:rPr>
      </w:pPr>
      <w:r w:rsidRPr="002D7BD1">
        <w:rPr>
          <w:rStyle w:val="FootnoteReference"/>
          <w:position w:val="0"/>
          <w:sz w:val="20"/>
          <w:vertAlign w:val="superscript"/>
        </w:rPr>
        <w:footnoteRef/>
      </w:r>
      <w:r w:rsidR="001946D4">
        <w:rPr>
          <w:i/>
        </w:rPr>
        <w:t xml:space="preserve"> </w:t>
      </w:r>
      <w:r w:rsidR="00F65EF4">
        <w:rPr>
          <w:i/>
        </w:rPr>
        <w:t xml:space="preserve"> </w:t>
      </w:r>
      <w:r w:rsidRPr="00F90462">
        <w:rPr>
          <w:i/>
        </w:rPr>
        <w:t>Id.</w:t>
      </w:r>
    </w:p>
  </w:footnote>
  <w:footnote w:id="28">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24.32.</w:t>
      </w:r>
    </w:p>
  </w:footnote>
  <w:footnote w:id="29">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 xml:space="preserve">16 TAC § 24.33.  </w:t>
      </w:r>
    </w:p>
  </w:footnote>
  <w:footnote w:id="30">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13.1871.</w:t>
      </w:r>
    </w:p>
  </w:footnote>
  <w:footnote w:id="31">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24.29.</w:t>
      </w:r>
    </w:p>
  </w:footnote>
  <w:footnote w:id="32">
    <w:p w:rsidR="006220C0" w:rsidRPr="00F90462" w:rsidRDefault="006220C0">
      <w:pPr>
        <w:pStyle w:val="FootnoteText"/>
      </w:pPr>
      <w:r w:rsidRPr="002D7BD1">
        <w:rPr>
          <w:rStyle w:val="FootnoteReference"/>
          <w:position w:val="0"/>
          <w:sz w:val="20"/>
          <w:vertAlign w:val="superscript"/>
        </w:rPr>
        <w:footnoteRef/>
      </w:r>
      <w:r w:rsidR="00F65EF4" w:rsidRPr="002D7BD1">
        <w:t xml:space="preserve"> </w:t>
      </w:r>
      <w:r w:rsidR="001946D4" w:rsidRPr="002D7BD1">
        <w:t xml:space="preserve"> </w:t>
      </w:r>
      <w:r w:rsidRPr="00F90462">
        <w:t>TWC § 13.1871.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8D252C">
      <w:rPr>
        <w:rStyle w:val="PageNumber"/>
        <w:sz w:val="20"/>
      </w:rPr>
      <w:t>473-17-0119</w:t>
    </w:r>
    <w:r w:rsidR="00EB1BBA">
      <w:rPr>
        <w:rStyle w:val="PageNumber"/>
        <w:sz w:val="20"/>
      </w:rPr>
      <w:t>.WS</w:t>
    </w:r>
    <w:r w:rsidR="003243A0" w:rsidRPr="00D07FE4">
      <w:rPr>
        <w:sz w:val="20"/>
      </w:rPr>
      <w:tab/>
    </w:r>
    <w:r w:rsidR="008D252C">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54036E">
      <w:rPr>
        <w:rStyle w:val="PageNumber"/>
        <w:noProof/>
        <w:sz w:val="20"/>
      </w:rPr>
      <w:t>2</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54036E">
      <w:rPr>
        <w:rStyle w:val="PageNumber"/>
        <w:noProof/>
        <w:sz w:val="20"/>
      </w:rPr>
      <w:t>8</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4016F3">
      <w:rPr>
        <w:sz w:val="20"/>
      </w:rPr>
      <w:t>4624</w:t>
    </w:r>
    <w:r w:rsidR="008D252C">
      <w:rPr>
        <w:sz w:val="20"/>
      </w:rPr>
      <w:t>5</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pStyle w:val="IssueList"/>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3"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22597B19"/>
    <w:multiLevelType w:val="hybridMultilevel"/>
    <w:tmpl w:val="AC6C4DBC"/>
    <w:lvl w:ilvl="0" w:tplc="F954A0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417518"/>
    <w:multiLevelType w:val="hybridMultilevel"/>
    <w:tmpl w:val="9056B83C"/>
    <w:lvl w:ilvl="0" w:tplc="93A6E6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9D2E61"/>
    <w:multiLevelType w:val="singleLevel"/>
    <w:tmpl w:val="40B6E530"/>
    <w:lvl w:ilvl="0">
      <w:start w:val="1"/>
      <w:numFmt w:val="decimal"/>
      <w:lvlText w:val="%1."/>
      <w:legacy w:legacy="1" w:legacySpace="0" w:legacyIndent="360"/>
      <w:lvlJc w:val="left"/>
      <w:pPr>
        <w:ind w:left="360" w:hanging="360"/>
      </w:pPr>
    </w:lvl>
  </w:abstractNum>
  <w:abstractNum w:abstractNumId="8"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10" w15:restartNumberingAfterBreak="0">
    <w:nsid w:val="42CB159E"/>
    <w:multiLevelType w:val="hybridMultilevel"/>
    <w:tmpl w:val="267832D4"/>
    <w:lvl w:ilvl="0" w:tplc="BAE694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39419F5"/>
    <w:multiLevelType w:val="hybridMultilevel"/>
    <w:tmpl w:val="982082B6"/>
    <w:lvl w:ilvl="0" w:tplc="1714DF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4"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15:restartNumberingAfterBreak="0">
    <w:nsid w:val="66470E5C"/>
    <w:multiLevelType w:val="hybridMultilevel"/>
    <w:tmpl w:val="1B1C66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2"/>
  </w:num>
  <w:num w:numId="3">
    <w:abstractNumId w:val="13"/>
  </w:num>
  <w:num w:numId="4">
    <w:abstractNumId w:val="11"/>
  </w:num>
  <w:num w:numId="5">
    <w:abstractNumId w:val="14"/>
  </w:num>
  <w:num w:numId="6">
    <w:abstractNumId w:val="3"/>
  </w:num>
  <w:num w:numId="7">
    <w:abstractNumId w:val="4"/>
  </w:num>
  <w:num w:numId="8">
    <w:abstractNumId w:val="8"/>
  </w:num>
  <w:num w:numId="9">
    <w:abstractNumId w:val="15"/>
  </w:num>
  <w:num w:numId="10">
    <w:abstractNumId w:val="10"/>
  </w:num>
  <w:num w:numId="11">
    <w:abstractNumId w:val="6"/>
  </w:num>
  <w:num w:numId="12">
    <w:abstractNumId w:val="7"/>
  </w:num>
  <w:num w:numId="13">
    <w:abstractNumId w:val="1"/>
  </w:num>
  <w:num w:numId="14">
    <w:abstractNumId w:val="17"/>
  </w:num>
  <w:num w:numId="15">
    <w:abstractNumId w:val="0"/>
  </w:num>
  <w:num w:numId="16">
    <w:abstractNumId w:val="16"/>
  </w:num>
  <w:num w:numId="17">
    <w:abstractNumId w:val="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37BC"/>
    <w:rsid w:val="0000092F"/>
    <w:rsid w:val="00062C7D"/>
    <w:rsid w:val="00072267"/>
    <w:rsid w:val="00091D58"/>
    <w:rsid w:val="000D3D8B"/>
    <w:rsid w:val="00116B69"/>
    <w:rsid w:val="0012543C"/>
    <w:rsid w:val="001560CE"/>
    <w:rsid w:val="001946D4"/>
    <w:rsid w:val="001C225E"/>
    <w:rsid w:val="001D3165"/>
    <w:rsid w:val="001E4645"/>
    <w:rsid w:val="001E48DE"/>
    <w:rsid w:val="001F2ED3"/>
    <w:rsid w:val="002133F3"/>
    <w:rsid w:val="002358C1"/>
    <w:rsid w:val="00237664"/>
    <w:rsid w:val="002723B2"/>
    <w:rsid w:val="00275B22"/>
    <w:rsid w:val="002A12E2"/>
    <w:rsid w:val="002A66CE"/>
    <w:rsid w:val="002B0DD0"/>
    <w:rsid w:val="002D2669"/>
    <w:rsid w:val="002D7BD1"/>
    <w:rsid w:val="00310A7C"/>
    <w:rsid w:val="003243A0"/>
    <w:rsid w:val="003250B0"/>
    <w:rsid w:val="0032573F"/>
    <w:rsid w:val="00333F83"/>
    <w:rsid w:val="00346DFD"/>
    <w:rsid w:val="003572F8"/>
    <w:rsid w:val="00362519"/>
    <w:rsid w:val="00364BA2"/>
    <w:rsid w:val="0039378D"/>
    <w:rsid w:val="003A255D"/>
    <w:rsid w:val="003A6A8D"/>
    <w:rsid w:val="003B3F58"/>
    <w:rsid w:val="003B5983"/>
    <w:rsid w:val="003C35B5"/>
    <w:rsid w:val="003D1D8E"/>
    <w:rsid w:val="003E2F6F"/>
    <w:rsid w:val="003F7BAF"/>
    <w:rsid w:val="004016F3"/>
    <w:rsid w:val="004037BC"/>
    <w:rsid w:val="00475705"/>
    <w:rsid w:val="004A53B0"/>
    <w:rsid w:val="004B550F"/>
    <w:rsid w:val="004D7EC0"/>
    <w:rsid w:val="005164BF"/>
    <w:rsid w:val="00521F8F"/>
    <w:rsid w:val="0054036E"/>
    <w:rsid w:val="00562CC6"/>
    <w:rsid w:val="00563F76"/>
    <w:rsid w:val="005A2B53"/>
    <w:rsid w:val="005B5B97"/>
    <w:rsid w:val="005C429A"/>
    <w:rsid w:val="005D35B7"/>
    <w:rsid w:val="005E1509"/>
    <w:rsid w:val="005F07DC"/>
    <w:rsid w:val="0060204E"/>
    <w:rsid w:val="006220C0"/>
    <w:rsid w:val="00626617"/>
    <w:rsid w:val="006312D3"/>
    <w:rsid w:val="00635B60"/>
    <w:rsid w:val="00651EE1"/>
    <w:rsid w:val="00653486"/>
    <w:rsid w:val="0066752F"/>
    <w:rsid w:val="00676438"/>
    <w:rsid w:val="006836DB"/>
    <w:rsid w:val="00683707"/>
    <w:rsid w:val="006908E0"/>
    <w:rsid w:val="006A31B6"/>
    <w:rsid w:val="006A6AB4"/>
    <w:rsid w:val="006E336E"/>
    <w:rsid w:val="006F000D"/>
    <w:rsid w:val="0074722F"/>
    <w:rsid w:val="00755554"/>
    <w:rsid w:val="00786D60"/>
    <w:rsid w:val="007A5644"/>
    <w:rsid w:val="007B04CB"/>
    <w:rsid w:val="007B24AD"/>
    <w:rsid w:val="007C4C98"/>
    <w:rsid w:val="007F05ED"/>
    <w:rsid w:val="007F3C40"/>
    <w:rsid w:val="008342FA"/>
    <w:rsid w:val="008C7F0C"/>
    <w:rsid w:val="008D252C"/>
    <w:rsid w:val="008E4174"/>
    <w:rsid w:val="00917E2A"/>
    <w:rsid w:val="0092010C"/>
    <w:rsid w:val="009264E7"/>
    <w:rsid w:val="0093434E"/>
    <w:rsid w:val="00995701"/>
    <w:rsid w:val="009A1521"/>
    <w:rsid w:val="009E7448"/>
    <w:rsid w:val="009F1850"/>
    <w:rsid w:val="00A71216"/>
    <w:rsid w:val="00A73580"/>
    <w:rsid w:val="00A76964"/>
    <w:rsid w:val="00AA36AA"/>
    <w:rsid w:val="00AC2D6E"/>
    <w:rsid w:val="00AD0759"/>
    <w:rsid w:val="00B10142"/>
    <w:rsid w:val="00B153B8"/>
    <w:rsid w:val="00B81B17"/>
    <w:rsid w:val="00BA22C9"/>
    <w:rsid w:val="00BA289E"/>
    <w:rsid w:val="00BC2C89"/>
    <w:rsid w:val="00C2483A"/>
    <w:rsid w:val="00C35689"/>
    <w:rsid w:val="00C4337C"/>
    <w:rsid w:val="00CE470D"/>
    <w:rsid w:val="00CE70B1"/>
    <w:rsid w:val="00CF03EC"/>
    <w:rsid w:val="00D07FE4"/>
    <w:rsid w:val="00D10A2B"/>
    <w:rsid w:val="00D46652"/>
    <w:rsid w:val="00D808F0"/>
    <w:rsid w:val="00DD0940"/>
    <w:rsid w:val="00DD612A"/>
    <w:rsid w:val="00E01778"/>
    <w:rsid w:val="00E114A8"/>
    <w:rsid w:val="00E202A4"/>
    <w:rsid w:val="00E24DB5"/>
    <w:rsid w:val="00E36833"/>
    <w:rsid w:val="00E5501D"/>
    <w:rsid w:val="00E57C4D"/>
    <w:rsid w:val="00E86685"/>
    <w:rsid w:val="00EB1BBA"/>
    <w:rsid w:val="00EF4E5B"/>
    <w:rsid w:val="00EF535D"/>
    <w:rsid w:val="00F55098"/>
    <w:rsid w:val="00F65EF4"/>
    <w:rsid w:val="00F90462"/>
    <w:rsid w:val="00F96ED0"/>
    <w:rsid w:val="00FC4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C1F6A8A-521C-40B9-BE04-AC8487FF7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uiPriority w:val="99"/>
    <w:rPr>
      <w:position w:val="6"/>
      <w:sz w:val="17"/>
    </w:rPr>
  </w:style>
  <w:style w:type="paragraph" w:styleId="FootnoteText">
    <w:name w:val="footnote text"/>
    <w:basedOn w:val="Normal"/>
    <w:link w:val="FootnoteTextChar"/>
    <w:uiPriority w:val="99"/>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character" w:customStyle="1" w:styleId="FootnoteTextChar">
    <w:name w:val="Footnote Text Char"/>
    <w:link w:val="FootnoteText"/>
    <w:uiPriority w:val="99"/>
    <w:rsid w:val="00562CC6"/>
  </w:style>
  <w:style w:type="paragraph" w:customStyle="1" w:styleId="IssueList">
    <w:name w:val="Issue List"/>
    <w:basedOn w:val="Normal"/>
    <w:qFormat/>
    <w:rsid w:val="00562CC6"/>
    <w:pPr>
      <w:numPr>
        <w:numId w:val="15"/>
      </w:numPr>
      <w:spacing w:before="120"/>
    </w:pPr>
    <w:rPr>
      <w:snapToGrid w:val="0"/>
    </w:rPr>
  </w:style>
  <w:style w:type="paragraph" w:styleId="BalloonText">
    <w:name w:val="Balloon Text"/>
    <w:basedOn w:val="Normal"/>
    <w:link w:val="BalloonTextChar"/>
    <w:rsid w:val="002358C1"/>
    <w:pPr>
      <w:spacing w:before="0" w:line="240" w:lineRule="auto"/>
    </w:pPr>
    <w:rPr>
      <w:rFonts w:ascii="Segoe UI" w:hAnsi="Segoe UI" w:cs="Segoe UI"/>
      <w:sz w:val="18"/>
      <w:szCs w:val="18"/>
    </w:rPr>
  </w:style>
  <w:style w:type="character" w:customStyle="1" w:styleId="BalloonTextChar">
    <w:name w:val="Balloon Text Char"/>
    <w:link w:val="BalloonText"/>
    <w:rsid w:val="002358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A88ED-165C-4B11-96EF-2FB3016D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443</TotalTime>
  <Pages>8</Pages>
  <Words>1595</Words>
  <Characters>9094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10668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Waddell, Adrianne</dc:creator>
  <cp:keywords/>
  <cp:lastModifiedBy>Roundtree-Williams, Keva</cp:lastModifiedBy>
  <cp:revision>11</cp:revision>
  <cp:lastPrinted>2016-05-12T14:27:00Z</cp:lastPrinted>
  <dcterms:created xsi:type="dcterms:W3CDTF">2016-09-28T15:26:00Z</dcterms:created>
  <dcterms:modified xsi:type="dcterms:W3CDTF">2016-09-30T15:13:00Z</dcterms:modified>
  <cp:contentStatus/>
</cp:coreProperties>
</file>